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38E00722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13230D">
        <w:rPr>
          <w:rFonts w:cstheme="minorHAnsi"/>
          <w:szCs w:val="24"/>
        </w:rPr>
        <w:t>8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20F8DBDB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13230D">
        <w:rPr>
          <w:rFonts w:cstheme="minorHAnsi"/>
          <w:b/>
          <w:sz w:val="24"/>
          <w:szCs w:val="24"/>
        </w:rPr>
        <w:t>8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AA4889">
        <w:rPr>
          <w:rFonts w:cstheme="minorHAnsi"/>
          <w:b/>
          <w:sz w:val="24"/>
          <w:szCs w:val="24"/>
        </w:rPr>
        <w:t xml:space="preserve">, </w:t>
      </w:r>
      <w:r w:rsidR="00356F6E" w:rsidRPr="004748AE">
        <w:rPr>
          <w:rFonts w:cstheme="minorHAnsi"/>
          <w:b/>
          <w:sz w:val="24"/>
          <w:szCs w:val="24"/>
        </w:rPr>
        <w:t>plus</w:t>
      </w:r>
      <w:r w:rsidR="00614809" w:rsidRPr="004748AE">
        <w:rPr>
          <w:rFonts w:cstheme="minorHAnsi"/>
          <w:b/>
          <w:sz w:val="24"/>
          <w:szCs w:val="24"/>
        </w:rPr>
        <w:t xml:space="preserve"> de </w:t>
      </w:r>
      <w:r w:rsidR="00356F6E" w:rsidRPr="004748AE">
        <w:rPr>
          <w:rFonts w:cstheme="minorHAnsi"/>
          <w:b/>
          <w:sz w:val="24"/>
          <w:szCs w:val="24"/>
        </w:rPr>
        <w:t>3 </w:t>
      </w:r>
      <w:r w:rsidR="004748AE" w:rsidRPr="004748AE">
        <w:rPr>
          <w:rFonts w:cstheme="minorHAnsi"/>
          <w:b/>
          <w:sz w:val="24"/>
          <w:szCs w:val="24"/>
        </w:rPr>
        <w:t>513</w:t>
      </w:r>
      <w:r w:rsidR="00AA4889" w:rsidRPr="004748AE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3929375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4748AE" w:rsidRPr="004748AE">
        <w:rPr>
          <w:rFonts w:cstheme="minorHAnsi"/>
          <w:bCs/>
          <w:sz w:val="24"/>
          <w:szCs w:val="24"/>
        </w:rPr>
        <w:t>2 472 808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4748AE">
        <w:rPr>
          <w:rFonts w:cstheme="minorHAnsi"/>
          <w:bCs/>
          <w:sz w:val="24"/>
          <w:szCs w:val="24"/>
        </w:rPr>
        <w:t>3,</w:t>
      </w:r>
      <w:r w:rsidR="004748AE">
        <w:rPr>
          <w:rFonts w:cstheme="minorHAnsi"/>
          <w:bCs/>
          <w:sz w:val="24"/>
          <w:szCs w:val="24"/>
        </w:rPr>
        <w:t>7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4748AE">
        <w:rPr>
          <w:rFonts w:cstheme="minorHAnsi"/>
          <w:bCs/>
          <w:sz w:val="24"/>
          <w:szCs w:val="24"/>
        </w:rPr>
        <w:t>4</w:t>
      </w:r>
      <w:r w:rsidR="00E269FC" w:rsidRPr="004748AE">
        <w:rPr>
          <w:rFonts w:cstheme="minorHAnsi"/>
          <w:bCs/>
          <w:sz w:val="24"/>
          <w:szCs w:val="24"/>
        </w:rPr>
        <w:t>,</w:t>
      </w:r>
      <w:r w:rsidR="004748AE">
        <w:rPr>
          <w:rFonts w:cstheme="minorHAnsi"/>
          <w:bCs/>
          <w:sz w:val="24"/>
          <w:szCs w:val="24"/>
        </w:rPr>
        <w:t>7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4748AE" w:rsidRPr="004748AE">
        <w:rPr>
          <w:rFonts w:cstheme="minorHAnsi"/>
          <w:bCs/>
          <w:sz w:val="24"/>
          <w:szCs w:val="24"/>
        </w:rPr>
        <w:t>1 040</w:t>
      </w:r>
      <w:r w:rsidR="004748AE">
        <w:rPr>
          <w:rFonts w:cstheme="minorHAnsi"/>
          <w:bCs/>
          <w:sz w:val="24"/>
          <w:szCs w:val="24"/>
        </w:rPr>
        <w:t> </w:t>
      </w:r>
      <w:r w:rsidR="004748AE" w:rsidRPr="004748AE">
        <w:rPr>
          <w:rFonts w:cstheme="minorHAnsi"/>
          <w:bCs/>
          <w:sz w:val="24"/>
          <w:szCs w:val="24"/>
        </w:rPr>
        <w:t>773</w:t>
      </w:r>
      <w:r w:rsidR="004748AE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4748AE" w:rsidRPr="00CF6F9C" w14:paraId="7F092677" w14:textId="77777777" w:rsidTr="003D62BC">
        <w:tc>
          <w:tcPr>
            <w:tcW w:w="1838" w:type="dxa"/>
          </w:tcPr>
          <w:p w14:paraId="60654AE1" w14:textId="67F19389" w:rsidR="004748AE" w:rsidRPr="00CF6F9C" w:rsidRDefault="004748AE" w:rsidP="004748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718970A" w:rsidR="004748AE" w:rsidRPr="00BD1C3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66 636</w:t>
            </w:r>
          </w:p>
        </w:tc>
        <w:tc>
          <w:tcPr>
            <w:tcW w:w="2408" w:type="dxa"/>
            <w:vAlign w:val="bottom"/>
          </w:tcPr>
          <w:p w14:paraId="14E4821A" w14:textId="590A9197" w:rsidR="004748AE" w:rsidRPr="004748A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924 874</w:t>
            </w:r>
          </w:p>
        </w:tc>
        <w:tc>
          <w:tcPr>
            <w:tcW w:w="2408" w:type="dxa"/>
            <w:vAlign w:val="bottom"/>
          </w:tcPr>
          <w:p w14:paraId="1D5FCB5B" w14:textId="30D7916E" w:rsidR="004748AE" w:rsidRPr="004748A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2 472 808</w:t>
            </w:r>
          </w:p>
        </w:tc>
      </w:tr>
      <w:tr w:rsidR="004748AE" w:rsidRPr="00CF6F9C" w14:paraId="7AFA91C4" w14:textId="77777777" w:rsidTr="003D62B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4748AE" w:rsidRPr="00CF6F9C" w:rsidRDefault="004748AE" w:rsidP="004748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2860D78F" w:rsidR="004748AE" w:rsidRPr="00BD1C3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117 484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20182DFE" w:rsidR="004748AE" w:rsidRPr="004748A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98</w:t>
            </w:r>
            <w:bookmarkStart w:id="0" w:name="_GoBack"/>
            <w:bookmarkEnd w:id="0"/>
            <w:r w:rsidRPr="004748AE">
              <w:rPr>
                <w:rFonts w:cstheme="minorHAnsi"/>
                <w:bCs/>
                <w:sz w:val="24"/>
                <w:szCs w:val="24"/>
              </w:rPr>
              <w:t>5 342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7DE78255" w:rsidR="004748AE" w:rsidRPr="004748AE" w:rsidRDefault="004748AE" w:rsidP="004748A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48AE">
              <w:rPr>
                <w:rFonts w:cstheme="minorHAnsi"/>
                <w:bCs/>
                <w:sz w:val="24"/>
                <w:szCs w:val="24"/>
              </w:rPr>
              <w:t>1 040 773</w:t>
            </w:r>
          </w:p>
        </w:tc>
      </w:tr>
      <w:tr w:rsidR="004748AE" w:rsidRPr="00356F6E" w14:paraId="212A4B16" w14:textId="77777777" w:rsidTr="003D62B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4748AE" w:rsidRPr="00CF6F9C" w:rsidRDefault="004748AE" w:rsidP="004748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8F89F08" w:rsidR="004748AE" w:rsidRPr="004748AE" w:rsidRDefault="004748AE" w:rsidP="004748A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748AE">
              <w:rPr>
                <w:rFonts w:cstheme="minorHAnsi"/>
                <w:b/>
                <w:sz w:val="24"/>
                <w:szCs w:val="24"/>
              </w:rPr>
              <w:t>184 120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29ABCAC7" w:rsidR="004748AE" w:rsidRPr="004748AE" w:rsidRDefault="004748AE" w:rsidP="004748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8AE">
              <w:rPr>
                <w:rFonts w:cstheme="minorHAnsi"/>
                <w:b/>
                <w:bCs/>
                <w:sz w:val="24"/>
                <w:szCs w:val="24"/>
              </w:rPr>
              <w:t>1 910 216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063FD486" w:rsidR="004748AE" w:rsidRPr="004748AE" w:rsidRDefault="004748AE" w:rsidP="004748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48AE">
              <w:rPr>
                <w:rFonts w:cstheme="minorHAnsi"/>
                <w:b/>
                <w:bCs/>
                <w:sz w:val="24"/>
                <w:szCs w:val="24"/>
              </w:rPr>
              <w:t>3 513 581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5AA51FA8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13230D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4C3998A7" w:rsidR="0055281B" w:rsidRPr="003771F2" w:rsidRDefault="00741E7A" w:rsidP="003771F2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71F2">
              <w:rPr>
                <w:rFonts w:cstheme="minorHAnsi"/>
                <w:bCs/>
                <w:sz w:val="24"/>
                <w:szCs w:val="24"/>
              </w:rPr>
              <w:t>39,</w:t>
            </w:r>
            <w:r w:rsidR="003771F2" w:rsidRPr="003771F2">
              <w:rPr>
                <w:rFonts w:cstheme="minorHAnsi"/>
                <w:bCs/>
                <w:sz w:val="24"/>
                <w:szCs w:val="24"/>
              </w:rPr>
              <w:t>7</w:t>
            </w:r>
            <w:r w:rsidR="0055281B" w:rsidRPr="003771F2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3771F2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771F2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FD0FFF" w:rsidRPr="00C30F29" w14:paraId="7E6306DA" w14:textId="77777777" w:rsidTr="00436192">
        <w:tc>
          <w:tcPr>
            <w:tcW w:w="3397" w:type="dxa"/>
          </w:tcPr>
          <w:p w14:paraId="34905677" w14:textId="79E95428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007C41B6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0,6%</w:t>
            </w:r>
          </w:p>
        </w:tc>
      </w:tr>
      <w:tr w:rsidR="00FD0FFF" w:rsidRPr="00C30F29" w14:paraId="7E8D1372" w14:textId="77777777" w:rsidTr="00436192">
        <w:tc>
          <w:tcPr>
            <w:tcW w:w="3397" w:type="dxa"/>
          </w:tcPr>
          <w:p w14:paraId="380AC937" w14:textId="5812ADD8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0419D7AC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1,2%</w:t>
            </w:r>
          </w:p>
        </w:tc>
      </w:tr>
      <w:tr w:rsidR="00FD0FFF" w:rsidRPr="00C30F29" w14:paraId="50BD63E2" w14:textId="77777777" w:rsidTr="00436192">
        <w:tc>
          <w:tcPr>
            <w:tcW w:w="3397" w:type="dxa"/>
          </w:tcPr>
          <w:p w14:paraId="052FE8B0" w14:textId="4C8EAC89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62C1D790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3,7%</w:t>
            </w:r>
          </w:p>
        </w:tc>
      </w:tr>
      <w:tr w:rsidR="00FD0FFF" w:rsidRPr="00C30F29" w14:paraId="06102D8A" w14:textId="77777777" w:rsidTr="00436192">
        <w:tc>
          <w:tcPr>
            <w:tcW w:w="3397" w:type="dxa"/>
          </w:tcPr>
          <w:p w14:paraId="0CADAEA5" w14:textId="46C3E815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26253D2E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5,7%</w:t>
            </w:r>
          </w:p>
        </w:tc>
      </w:tr>
      <w:tr w:rsidR="00FD0FFF" w:rsidRPr="00C30F29" w14:paraId="0C1B4463" w14:textId="77777777" w:rsidTr="00436192">
        <w:tc>
          <w:tcPr>
            <w:tcW w:w="3397" w:type="dxa"/>
          </w:tcPr>
          <w:p w14:paraId="35AFAD92" w14:textId="20CDA55C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5246AF39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13,3%</w:t>
            </w:r>
          </w:p>
        </w:tc>
      </w:tr>
      <w:tr w:rsidR="00FD0FFF" w:rsidRPr="00C30F29" w14:paraId="5A9CCDB4" w14:textId="77777777" w:rsidTr="00436192">
        <w:tc>
          <w:tcPr>
            <w:tcW w:w="3397" w:type="dxa"/>
          </w:tcPr>
          <w:p w14:paraId="0D1B3D5E" w14:textId="453562F7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7AA4EE2E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5,8%</w:t>
            </w:r>
          </w:p>
        </w:tc>
      </w:tr>
      <w:tr w:rsidR="00FD0FFF" w:rsidRPr="00C30F29" w14:paraId="2C1A8FB7" w14:textId="77777777" w:rsidTr="00436192">
        <w:tc>
          <w:tcPr>
            <w:tcW w:w="3397" w:type="dxa"/>
          </w:tcPr>
          <w:p w14:paraId="4C8C669B" w14:textId="557BE17D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061A98E6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4,1%</w:t>
            </w:r>
          </w:p>
        </w:tc>
      </w:tr>
      <w:tr w:rsidR="00FD0FFF" w:rsidRPr="00C30F29" w14:paraId="1AEFDAB2" w14:textId="77777777" w:rsidTr="00436192">
        <w:tc>
          <w:tcPr>
            <w:tcW w:w="3397" w:type="dxa"/>
          </w:tcPr>
          <w:p w14:paraId="12081821" w14:textId="230748F7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4E6A3592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5,0%</w:t>
            </w:r>
          </w:p>
        </w:tc>
      </w:tr>
      <w:tr w:rsidR="00FD0FFF" w:rsidRPr="00C30F29" w14:paraId="17D7765E" w14:textId="77777777" w:rsidTr="00436192">
        <w:tc>
          <w:tcPr>
            <w:tcW w:w="3397" w:type="dxa"/>
          </w:tcPr>
          <w:p w14:paraId="7EA5A05F" w14:textId="48087722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27427201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19,0%</w:t>
            </w:r>
          </w:p>
        </w:tc>
      </w:tr>
      <w:tr w:rsidR="00FD0FFF" w:rsidRPr="00C30F29" w14:paraId="6854588E" w14:textId="77777777" w:rsidTr="00436192">
        <w:tc>
          <w:tcPr>
            <w:tcW w:w="3397" w:type="dxa"/>
          </w:tcPr>
          <w:p w14:paraId="3FE4BCD4" w14:textId="53FA8900" w:rsidR="00FD0FFF" w:rsidRPr="00C30F29" w:rsidRDefault="00FD0FFF" w:rsidP="00FD0F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46DEFB37" w:rsidR="00FD0FFF" w:rsidRPr="00FD0FFF" w:rsidRDefault="00FD0FFF" w:rsidP="00FD0FF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D0FFF">
              <w:rPr>
                <w:rFonts w:cstheme="minorHAnsi"/>
                <w:color w:val="000000"/>
                <w:sz w:val="24"/>
              </w:rPr>
              <w:t>41,6%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654FCC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D24489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69CFBB49" w:rsidR="001C6BD0" w:rsidRPr="00C852BB" w:rsidRDefault="00C852BB" w:rsidP="001C6BD0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286 001</w:t>
            </w:r>
          </w:p>
        </w:tc>
        <w:tc>
          <w:tcPr>
            <w:tcW w:w="2551" w:type="dxa"/>
          </w:tcPr>
          <w:p w14:paraId="58AFC053" w14:textId="5F6C86EE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 xml:space="preserve">96 120 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2FCBFE12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138 773</w:t>
            </w:r>
          </w:p>
        </w:tc>
        <w:tc>
          <w:tcPr>
            <w:tcW w:w="2551" w:type="dxa"/>
          </w:tcPr>
          <w:p w14:paraId="3834E8F6" w14:textId="51C64686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55 672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08E41719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135 784</w:t>
            </w:r>
          </w:p>
        </w:tc>
        <w:tc>
          <w:tcPr>
            <w:tcW w:w="2551" w:type="dxa"/>
          </w:tcPr>
          <w:p w14:paraId="6B14E5B9" w14:textId="1F79D69C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50 690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2426CE6A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107 524</w:t>
            </w:r>
          </w:p>
        </w:tc>
        <w:tc>
          <w:tcPr>
            <w:tcW w:w="2551" w:type="dxa"/>
          </w:tcPr>
          <w:p w14:paraId="378E4D50" w14:textId="0D6C3A6F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39 931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1CBB803C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18 315</w:t>
            </w:r>
          </w:p>
        </w:tc>
        <w:tc>
          <w:tcPr>
            <w:tcW w:w="2551" w:type="dxa"/>
          </w:tcPr>
          <w:p w14:paraId="4A8402D5" w14:textId="57E11B81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5 484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5286C846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213 600</w:t>
            </w:r>
          </w:p>
        </w:tc>
        <w:tc>
          <w:tcPr>
            <w:tcW w:w="2551" w:type="dxa"/>
          </w:tcPr>
          <w:p w14:paraId="61BBA3C3" w14:textId="25A8795C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82 543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5984BE6C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158 792</w:t>
            </w:r>
          </w:p>
        </w:tc>
        <w:tc>
          <w:tcPr>
            <w:tcW w:w="2551" w:type="dxa"/>
          </w:tcPr>
          <w:p w14:paraId="1CCED339" w14:textId="6C22E1BB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70 620</w:t>
            </w:r>
            <w:r w:rsidR="00190A2C" w:rsidRPr="00C852BB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0F104A94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335 478</w:t>
            </w:r>
          </w:p>
        </w:tc>
        <w:tc>
          <w:tcPr>
            <w:tcW w:w="2551" w:type="dxa"/>
          </w:tcPr>
          <w:p w14:paraId="5334B535" w14:textId="68305349" w:rsidR="000F58DC" w:rsidRPr="00C852BB" w:rsidRDefault="00C852BB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122 342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35223591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144 521</w:t>
            </w:r>
          </w:p>
        </w:tc>
        <w:tc>
          <w:tcPr>
            <w:tcW w:w="2551" w:type="dxa"/>
          </w:tcPr>
          <w:p w14:paraId="705727C7" w14:textId="3508CF55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70 408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5DDD1BD1" w:rsidR="000F58DC" w:rsidRPr="00C852BB" w:rsidRDefault="00C852BB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268 006</w:t>
            </w:r>
          </w:p>
        </w:tc>
        <w:tc>
          <w:tcPr>
            <w:tcW w:w="2551" w:type="dxa"/>
          </w:tcPr>
          <w:p w14:paraId="01A8AFDC" w14:textId="2E258D80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101 945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37F0E7DB" w:rsidR="000F58DC" w:rsidRPr="00C852BB" w:rsidRDefault="00C852BB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248 379</w:t>
            </w:r>
          </w:p>
        </w:tc>
        <w:tc>
          <w:tcPr>
            <w:tcW w:w="2551" w:type="dxa"/>
          </w:tcPr>
          <w:p w14:paraId="41A44F7C" w14:textId="5DB027BA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94 783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54695F61" w:rsidR="000F58DC" w:rsidRPr="00C852BB" w:rsidRDefault="00C852BB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135 771</w:t>
            </w:r>
          </w:p>
        </w:tc>
        <w:tc>
          <w:tcPr>
            <w:tcW w:w="2551" w:type="dxa"/>
          </w:tcPr>
          <w:p w14:paraId="25EC3F14" w14:textId="5344F3FF" w:rsidR="000F58DC" w:rsidRPr="00C852BB" w:rsidRDefault="00C852BB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56 252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3460F10B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195 473</w:t>
            </w:r>
          </w:p>
        </w:tc>
        <w:tc>
          <w:tcPr>
            <w:tcW w:w="2551" w:type="dxa"/>
          </w:tcPr>
          <w:p w14:paraId="205AC7F1" w14:textId="42555E36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68 998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216E7BD5" w:rsidR="000F58DC" w:rsidRPr="00C852BB" w:rsidRDefault="00C852BB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C852BB">
              <w:rPr>
                <w:rFonts w:cstheme="minorHAnsi"/>
                <w:b/>
                <w:szCs w:val="24"/>
              </w:rPr>
              <w:t>2 386 417</w:t>
            </w:r>
          </w:p>
        </w:tc>
        <w:tc>
          <w:tcPr>
            <w:tcW w:w="2551" w:type="dxa"/>
          </w:tcPr>
          <w:p w14:paraId="36EA140B" w14:textId="3FEF5564" w:rsidR="000F58DC" w:rsidRPr="00C852BB" w:rsidRDefault="00C852BB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C852BB">
              <w:rPr>
                <w:rFonts w:cstheme="minorHAnsi"/>
                <w:b/>
                <w:szCs w:val="24"/>
              </w:rPr>
              <w:t>915 788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65E50039" w:rsidR="000E2339" w:rsidRPr="00C852BB" w:rsidRDefault="00C852BB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1 957</w:t>
            </w:r>
          </w:p>
        </w:tc>
        <w:tc>
          <w:tcPr>
            <w:tcW w:w="2551" w:type="dxa"/>
          </w:tcPr>
          <w:p w14:paraId="715CD61E" w14:textId="3AD815B0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370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59365619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2 147</w:t>
            </w:r>
          </w:p>
        </w:tc>
        <w:tc>
          <w:tcPr>
            <w:tcW w:w="2551" w:type="dxa"/>
          </w:tcPr>
          <w:p w14:paraId="35347C47" w14:textId="02B76421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524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4186A100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12 142</w:t>
            </w:r>
          </w:p>
        </w:tc>
        <w:tc>
          <w:tcPr>
            <w:tcW w:w="2551" w:type="dxa"/>
          </w:tcPr>
          <w:p w14:paraId="6EA35EA8" w14:textId="29C262E0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1 577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1D52B040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3 742</w:t>
            </w:r>
          </w:p>
        </w:tc>
        <w:tc>
          <w:tcPr>
            <w:tcW w:w="2551" w:type="dxa"/>
          </w:tcPr>
          <w:p w14:paraId="6F4BEDA8" w14:textId="519B8C38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1 097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19BC2B05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3 313</w:t>
            </w:r>
          </w:p>
        </w:tc>
        <w:tc>
          <w:tcPr>
            <w:tcW w:w="2551" w:type="dxa"/>
          </w:tcPr>
          <w:p w14:paraId="45F6D6E2" w14:textId="7897C0D5" w:rsidR="000F58DC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9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5B0B0676" w:rsidR="000E2339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110</w:t>
            </w:r>
          </w:p>
        </w:tc>
        <w:tc>
          <w:tcPr>
            <w:tcW w:w="2551" w:type="dxa"/>
          </w:tcPr>
          <w:p w14:paraId="7458556D" w14:textId="3C1CF4F6" w:rsidR="000E2339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3410291" w:rsidR="000E2339" w:rsidRPr="00C852BB" w:rsidRDefault="00C852BB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67061C0A" w:rsidR="000E2339" w:rsidRPr="00C852B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C852BB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1177A13C" w:rsidR="000F58DC" w:rsidRPr="00C852BB" w:rsidRDefault="00C852BB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C852BB">
              <w:rPr>
                <w:rFonts w:cstheme="minorHAnsi"/>
                <w:b/>
                <w:szCs w:val="24"/>
              </w:rPr>
              <w:t>2 409 831</w:t>
            </w:r>
          </w:p>
        </w:tc>
        <w:tc>
          <w:tcPr>
            <w:tcW w:w="2551" w:type="dxa"/>
          </w:tcPr>
          <w:p w14:paraId="37EEDC3A" w14:textId="50352D70" w:rsidR="000F58DC" w:rsidRPr="00C852BB" w:rsidRDefault="00C852BB" w:rsidP="00590D7C">
            <w:pPr>
              <w:jc w:val="right"/>
              <w:rPr>
                <w:rFonts w:cstheme="minorHAnsi"/>
                <w:b/>
                <w:szCs w:val="24"/>
              </w:rPr>
            </w:pPr>
            <w:r w:rsidRPr="00C852BB">
              <w:rPr>
                <w:rFonts w:cstheme="minorHAnsi"/>
                <w:b/>
                <w:szCs w:val="24"/>
              </w:rPr>
              <w:t>919 370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C00C10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C00C10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C00C10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C00C10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DD25" w14:textId="77777777" w:rsidR="00C00C10" w:rsidRDefault="00C00C10" w:rsidP="00EF7EA0">
      <w:pPr>
        <w:spacing w:after="0" w:line="240" w:lineRule="auto"/>
      </w:pPr>
      <w:r>
        <w:separator/>
      </w:r>
    </w:p>
  </w:endnote>
  <w:endnote w:type="continuationSeparator" w:id="0">
    <w:p w14:paraId="0308908C" w14:textId="77777777" w:rsidR="00C00C10" w:rsidRDefault="00C00C10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F976" w14:textId="77777777" w:rsidR="00C00C10" w:rsidRDefault="00C00C10" w:rsidP="00EF7EA0">
      <w:pPr>
        <w:spacing w:after="0" w:line="240" w:lineRule="auto"/>
      </w:pPr>
      <w:r>
        <w:separator/>
      </w:r>
    </w:p>
  </w:footnote>
  <w:footnote w:type="continuationSeparator" w:id="0">
    <w:p w14:paraId="3C1B604E" w14:textId="77777777" w:rsidR="00C00C10" w:rsidRDefault="00C00C10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100B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1FAE"/>
    <w:rsid w:val="000F58DC"/>
    <w:rsid w:val="000F596B"/>
    <w:rsid w:val="000F747D"/>
    <w:rsid w:val="00100557"/>
    <w:rsid w:val="0010198F"/>
    <w:rsid w:val="00112880"/>
    <w:rsid w:val="0013230D"/>
    <w:rsid w:val="0014205A"/>
    <w:rsid w:val="00151F23"/>
    <w:rsid w:val="0016439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C6BD0"/>
    <w:rsid w:val="001D0AD2"/>
    <w:rsid w:val="001E1924"/>
    <w:rsid w:val="001E2259"/>
    <w:rsid w:val="001E565F"/>
    <w:rsid w:val="002011FB"/>
    <w:rsid w:val="00201329"/>
    <w:rsid w:val="002018FD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594F"/>
    <w:rsid w:val="0035657A"/>
    <w:rsid w:val="00356F6E"/>
    <w:rsid w:val="00357244"/>
    <w:rsid w:val="00360F3A"/>
    <w:rsid w:val="003771F2"/>
    <w:rsid w:val="0038155E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748AE"/>
    <w:rsid w:val="004829D0"/>
    <w:rsid w:val="004970DA"/>
    <w:rsid w:val="004A164B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0D7C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26823"/>
    <w:rsid w:val="00654FCC"/>
    <w:rsid w:val="00655327"/>
    <w:rsid w:val="00657C72"/>
    <w:rsid w:val="00657ECC"/>
    <w:rsid w:val="0066172A"/>
    <w:rsid w:val="00674A4B"/>
    <w:rsid w:val="00686686"/>
    <w:rsid w:val="00692D20"/>
    <w:rsid w:val="006B130B"/>
    <w:rsid w:val="006B493B"/>
    <w:rsid w:val="006D2567"/>
    <w:rsid w:val="006D37D5"/>
    <w:rsid w:val="006F09EB"/>
    <w:rsid w:val="006F351D"/>
    <w:rsid w:val="00707755"/>
    <w:rsid w:val="00710A5B"/>
    <w:rsid w:val="00730F59"/>
    <w:rsid w:val="00741E7A"/>
    <w:rsid w:val="00765544"/>
    <w:rsid w:val="00770A1B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0343"/>
    <w:rsid w:val="0096227C"/>
    <w:rsid w:val="00963AE8"/>
    <w:rsid w:val="00990DF2"/>
    <w:rsid w:val="009A33CC"/>
    <w:rsid w:val="009A3B8D"/>
    <w:rsid w:val="009B255C"/>
    <w:rsid w:val="009C60D6"/>
    <w:rsid w:val="009D177D"/>
    <w:rsid w:val="009D4A0A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4889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1C3E"/>
    <w:rsid w:val="00BD50AB"/>
    <w:rsid w:val="00BF31A4"/>
    <w:rsid w:val="00C00C10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852BB"/>
    <w:rsid w:val="00C949AD"/>
    <w:rsid w:val="00CC2D44"/>
    <w:rsid w:val="00CD6D17"/>
    <w:rsid w:val="00CF6F9C"/>
    <w:rsid w:val="00D0231E"/>
    <w:rsid w:val="00D03D29"/>
    <w:rsid w:val="00D10983"/>
    <w:rsid w:val="00D163FF"/>
    <w:rsid w:val="00D24489"/>
    <w:rsid w:val="00D31832"/>
    <w:rsid w:val="00D54650"/>
    <w:rsid w:val="00D630E1"/>
    <w:rsid w:val="00D6623C"/>
    <w:rsid w:val="00D76384"/>
    <w:rsid w:val="00D85E88"/>
    <w:rsid w:val="00D90BEB"/>
    <w:rsid w:val="00DA10F8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A0ED2"/>
    <w:rsid w:val="00FD0FFF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F338-9F0E-426E-B537-9E4DF3D7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75</cp:revision>
  <cp:lastPrinted>2021-01-29T19:20:00Z</cp:lastPrinted>
  <dcterms:created xsi:type="dcterms:W3CDTF">2021-02-10T16:35:00Z</dcterms:created>
  <dcterms:modified xsi:type="dcterms:W3CDTF">2021-02-18T17:16:00Z</dcterms:modified>
</cp:coreProperties>
</file>