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 w:after="1"/>
        <w:rPr>
          <w:sz w:val="15"/>
        </w:rPr>
      </w:pPr>
    </w:p>
    <w:p>
      <w:pPr>
        <w:tabs>
          <w:tab w:pos="7032" w:val="left" w:leader="none"/>
        </w:tabs>
        <w:spacing w:line="240" w:lineRule="auto"/>
        <w:ind w:left="4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714500" cy="914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3"/>
          <w:sz w:val="20"/>
        </w:rPr>
        <w:drawing>
          <wp:inline distT="0" distB="0" distL="0" distR="0">
            <wp:extent cx="1369029" cy="64617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29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580" w:bottom="280" w:left="1300" w:right="1300"/>
        </w:sectPr>
      </w:pPr>
    </w:p>
    <w:p>
      <w:pPr>
        <w:spacing w:before="9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Communiqué de presse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476" w:right="0" w:firstLine="0"/>
        <w:jc w:val="left"/>
        <w:rPr>
          <w:sz w:val="20"/>
        </w:rPr>
      </w:pPr>
      <w:r>
        <w:rPr>
          <w:sz w:val="20"/>
        </w:rPr>
        <w:t>Paris, le 1er août 2022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1300" w:right="1300"/>
          <w:cols w:num="2" w:equalWidth="0">
            <w:col w:w="3204" w:space="3712"/>
            <w:col w:w="23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spacing w:line="259" w:lineRule="auto" w:before="90"/>
        <w:ind w:left="115" w:right="722" w:firstLine="0"/>
        <w:jc w:val="left"/>
        <w:rPr>
          <w:b/>
          <w:sz w:val="24"/>
        </w:rPr>
      </w:pPr>
      <w:r>
        <w:rPr>
          <w:b/>
          <w:sz w:val="24"/>
        </w:rPr>
        <w:t>La France poursuit son engagement dans la recherche pour lutter contre la variole simienne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spacing w:line="259" w:lineRule="auto" w:before="0"/>
        <w:ind w:right="114"/>
      </w:pPr>
      <w:r>
        <w:rPr/>
        <w:t>La variole simienne, maladie endémique en Afrique de l’Ouest et du Centre, a pour la première fois fait l’objet d’une transmission inter-humaine en Europe et en France au début du mois de mai 2022. A la suite de l’apparition de ces premiers cas, l’ANRS | Maladies infectieuses émergentes, agence autonome de l’inserm, en lien avec le ministère de lʼEnseignement</w:t>
      </w:r>
      <w:r>
        <w:rPr>
          <w:spacing w:val="-12"/>
        </w:rPr>
        <w:t> </w:t>
      </w:r>
      <w:r>
        <w:rPr/>
        <w:t>supérieur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Recherche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ministère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Santé</w:t>
      </w:r>
      <w:r>
        <w:rPr>
          <w:spacing w:val="-12"/>
        </w:rPr>
        <w:t> </w:t>
      </w:r>
      <w:r>
        <w:rPr/>
        <w:t>et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Prévention,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mis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place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programme de recherche d’urgence.</w:t>
      </w:r>
    </w:p>
    <w:p>
      <w:pPr>
        <w:pStyle w:val="BodyText"/>
        <w:spacing w:line="259" w:lineRule="auto" w:before="155"/>
        <w:ind w:left="116" w:right="115"/>
        <w:jc w:val="both"/>
      </w:pPr>
      <w:r>
        <w:rPr/>
        <w:t>Dès le 16 mai 2022, l’ANRS | Maladies infectieuses émergentes, a activé un dispositif de crise sur le volet recherche dédié à la variole simienne ; le premier cas de variole simienne ayant été rapporté au Royaume-Uni le 7 mai 2022.</w:t>
      </w:r>
    </w:p>
    <w:p>
      <w:pPr>
        <w:spacing w:line="259" w:lineRule="auto" w:before="160"/>
        <w:ind w:left="116" w:right="116" w:hanging="1"/>
        <w:jc w:val="both"/>
        <w:rPr>
          <w:sz w:val="18"/>
        </w:rPr>
      </w:pPr>
      <w:r>
        <w:rPr>
          <w:b/>
          <w:sz w:val="18"/>
        </w:rPr>
        <w:t>Afin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d’assurer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une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réponse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coordonnée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et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efficace</w:t>
      </w:r>
      <w:r>
        <w:rPr>
          <w:b/>
          <w:spacing w:val="-10"/>
          <w:sz w:val="18"/>
        </w:rPr>
        <w:t> </w:t>
      </w:r>
      <w:r>
        <w:rPr>
          <w:sz w:val="18"/>
        </w:rPr>
        <w:t>pour</w:t>
      </w:r>
      <w:r>
        <w:rPr>
          <w:spacing w:val="-9"/>
          <w:sz w:val="18"/>
        </w:rPr>
        <w:t> </w:t>
      </w:r>
      <w:r>
        <w:rPr>
          <w:sz w:val="18"/>
        </w:rPr>
        <w:t>faire</w:t>
      </w:r>
      <w:r>
        <w:rPr>
          <w:spacing w:val="-7"/>
          <w:sz w:val="18"/>
        </w:rPr>
        <w:t> </w:t>
      </w:r>
      <w:r>
        <w:rPr>
          <w:sz w:val="18"/>
        </w:rPr>
        <w:t>face</w:t>
      </w:r>
      <w:r>
        <w:rPr>
          <w:spacing w:val="-7"/>
          <w:sz w:val="18"/>
        </w:rPr>
        <w:t> </w:t>
      </w:r>
      <w:r>
        <w:rPr>
          <w:sz w:val="18"/>
        </w:rPr>
        <w:t>à</w:t>
      </w:r>
      <w:r>
        <w:rPr>
          <w:spacing w:val="-10"/>
          <w:sz w:val="18"/>
        </w:rPr>
        <w:t> </w:t>
      </w:r>
      <w:r>
        <w:rPr>
          <w:sz w:val="18"/>
        </w:rPr>
        <w:t>cette</w:t>
      </w:r>
      <w:r>
        <w:rPr>
          <w:spacing w:val="-10"/>
          <w:sz w:val="18"/>
        </w:rPr>
        <w:t> </w:t>
      </w:r>
      <w:r>
        <w:rPr>
          <w:sz w:val="18"/>
        </w:rPr>
        <w:t>émergence,</w:t>
      </w:r>
      <w:r>
        <w:rPr>
          <w:spacing w:val="-8"/>
          <w:sz w:val="18"/>
        </w:rPr>
        <w:t> </w:t>
      </w:r>
      <w:r>
        <w:rPr>
          <w:sz w:val="18"/>
        </w:rPr>
        <w:t>l’agence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immédiatement</w:t>
      </w:r>
      <w:r>
        <w:rPr>
          <w:spacing w:val="-6"/>
          <w:sz w:val="18"/>
        </w:rPr>
        <w:t> </w:t>
      </w:r>
      <w:r>
        <w:rPr>
          <w:sz w:val="18"/>
        </w:rPr>
        <w:t>mis</w:t>
      </w:r>
      <w:r>
        <w:rPr>
          <w:spacing w:val="-10"/>
          <w:sz w:val="18"/>
        </w:rPr>
        <w:t> </w:t>
      </w: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>
          <w:sz w:val="18"/>
        </w:rPr>
        <w:t>place des activités de </w:t>
      </w:r>
      <w:hyperlink r:id="rId7">
        <w:r>
          <w:rPr>
            <w:color w:val="0562C1"/>
            <w:sz w:val="18"/>
            <w:u w:val="single" w:color="0562C1"/>
          </w:rPr>
          <w:t>veille scientifique</w:t>
        </w:r>
        <w:r>
          <w:rPr>
            <w:color w:val="0562C1"/>
            <w:sz w:val="18"/>
          </w:rPr>
          <w:t> </w:t>
        </w:r>
      </w:hyperlink>
      <w:r>
        <w:rPr>
          <w:sz w:val="18"/>
        </w:rPr>
        <w:t>et d’information à destination des pouvoirs publiques et des</w:t>
      </w:r>
      <w:r>
        <w:rPr>
          <w:spacing w:val="-13"/>
          <w:sz w:val="18"/>
        </w:rPr>
        <w:t> </w:t>
      </w:r>
      <w:r>
        <w:rPr>
          <w:sz w:val="18"/>
        </w:rPr>
        <w:t>médias.</w:t>
      </w:r>
    </w:p>
    <w:p>
      <w:pPr>
        <w:spacing w:line="259" w:lineRule="auto" w:before="160"/>
        <w:ind w:left="115" w:right="112" w:firstLine="0"/>
        <w:jc w:val="both"/>
        <w:rPr>
          <w:sz w:val="18"/>
        </w:rPr>
      </w:pP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>
          <w:sz w:val="18"/>
        </w:rPr>
        <w:t>parallèle,</w:t>
      </w:r>
      <w:r>
        <w:rPr>
          <w:spacing w:val="-6"/>
          <w:sz w:val="18"/>
        </w:rPr>
        <w:t> </w:t>
      </w:r>
      <w:r>
        <w:rPr>
          <w:sz w:val="18"/>
        </w:rPr>
        <w:t>l’ANRS</w:t>
      </w:r>
      <w:r>
        <w:rPr>
          <w:spacing w:val="-6"/>
          <w:sz w:val="18"/>
        </w:rPr>
        <w:t> </w:t>
      </w:r>
      <w:r>
        <w:rPr>
          <w:sz w:val="18"/>
        </w:rPr>
        <w:t>|</w:t>
      </w:r>
      <w:r>
        <w:rPr>
          <w:spacing w:val="-10"/>
          <w:sz w:val="18"/>
        </w:rPr>
        <w:t> </w:t>
      </w:r>
      <w:r>
        <w:rPr>
          <w:sz w:val="18"/>
        </w:rPr>
        <w:t>Maladies</w:t>
      </w:r>
      <w:r>
        <w:rPr>
          <w:spacing w:val="-7"/>
          <w:sz w:val="18"/>
        </w:rPr>
        <w:t> </w:t>
      </w:r>
      <w:r>
        <w:rPr>
          <w:sz w:val="18"/>
        </w:rPr>
        <w:t>infectieuses</w:t>
      </w:r>
      <w:r>
        <w:rPr>
          <w:spacing w:val="-7"/>
          <w:sz w:val="18"/>
        </w:rPr>
        <w:t> </w:t>
      </w:r>
      <w:r>
        <w:rPr>
          <w:sz w:val="18"/>
        </w:rPr>
        <w:t>émergentes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réuni</w:t>
      </w:r>
      <w:r>
        <w:rPr>
          <w:spacing w:val="-8"/>
          <w:sz w:val="18"/>
        </w:rPr>
        <w:t> </w:t>
      </w:r>
      <w:r>
        <w:rPr>
          <w:sz w:val="18"/>
        </w:rPr>
        <w:t>un</w:t>
      </w:r>
      <w:r>
        <w:rPr>
          <w:spacing w:val="-8"/>
          <w:sz w:val="18"/>
        </w:rPr>
        <w:t> </w:t>
      </w:r>
      <w:r>
        <w:rPr>
          <w:sz w:val="18"/>
        </w:rPr>
        <w:t>groupe</w:t>
      </w:r>
      <w:r>
        <w:rPr>
          <w:spacing w:val="-10"/>
          <w:sz w:val="18"/>
        </w:rPr>
        <w:t> </w:t>
      </w:r>
      <w:r>
        <w:rPr>
          <w:sz w:val="18"/>
        </w:rPr>
        <w:t>pluridisciplinaire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plus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50</w:t>
      </w:r>
      <w:r>
        <w:rPr>
          <w:spacing w:val="-8"/>
          <w:sz w:val="18"/>
        </w:rPr>
        <w:t> </w:t>
      </w:r>
      <w:r>
        <w:rPr>
          <w:sz w:val="18"/>
        </w:rPr>
        <w:t>experts</w:t>
      </w:r>
      <w:r>
        <w:rPr>
          <w:spacing w:val="-7"/>
          <w:sz w:val="18"/>
        </w:rPr>
        <w:t> </w:t>
      </w:r>
      <w:r>
        <w:rPr>
          <w:sz w:val="18"/>
        </w:rPr>
        <w:t>afin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b/>
          <w:sz w:val="18"/>
        </w:rPr>
        <w:t>faire le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point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sur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l’étendue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connaissances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scientifiques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définir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priorités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recherche</w:t>
      </w:r>
      <w:r>
        <w:rPr>
          <w:b/>
          <w:spacing w:val="-5"/>
          <w:sz w:val="18"/>
        </w:rPr>
        <w:t> </w:t>
      </w:r>
      <w:r>
        <w:rPr>
          <w:sz w:val="18"/>
        </w:rPr>
        <w:t>pour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réponse</w:t>
      </w:r>
      <w:r>
        <w:rPr>
          <w:spacing w:val="-6"/>
          <w:sz w:val="18"/>
        </w:rPr>
        <w:t> </w:t>
      </w:r>
      <w:r>
        <w:rPr>
          <w:sz w:val="18"/>
        </w:rPr>
        <w:t>à</w:t>
      </w:r>
      <w:r>
        <w:rPr>
          <w:spacing w:val="-5"/>
          <w:sz w:val="18"/>
        </w:rPr>
        <w:t> </w:t>
      </w:r>
      <w:r>
        <w:rPr>
          <w:sz w:val="18"/>
        </w:rPr>
        <w:t>l’épidémie de</w:t>
      </w:r>
      <w:r>
        <w:rPr>
          <w:spacing w:val="-7"/>
          <w:sz w:val="18"/>
        </w:rPr>
        <w:t> </w:t>
      </w:r>
      <w:r>
        <w:rPr>
          <w:sz w:val="18"/>
        </w:rPr>
        <w:t>variole</w:t>
      </w:r>
      <w:r>
        <w:rPr>
          <w:spacing w:val="-7"/>
          <w:sz w:val="18"/>
        </w:rPr>
        <w:t> </w:t>
      </w:r>
      <w:r>
        <w:rPr>
          <w:sz w:val="18"/>
        </w:rPr>
        <w:t>simienne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>
          <w:sz w:val="18"/>
        </w:rPr>
        <w:t>France.</w:t>
      </w:r>
      <w:r>
        <w:rPr>
          <w:spacing w:val="-6"/>
          <w:sz w:val="18"/>
        </w:rPr>
        <w:t> </w:t>
      </w:r>
      <w:r>
        <w:rPr>
          <w:sz w:val="18"/>
        </w:rPr>
        <w:t>Ce</w:t>
      </w:r>
      <w:r>
        <w:rPr>
          <w:spacing w:val="-9"/>
          <w:sz w:val="18"/>
        </w:rPr>
        <w:t> </w:t>
      </w:r>
      <w:r>
        <w:rPr>
          <w:sz w:val="18"/>
        </w:rPr>
        <w:t>travail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été</w:t>
      </w:r>
      <w:r>
        <w:rPr>
          <w:spacing w:val="-7"/>
          <w:sz w:val="18"/>
        </w:rPr>
        <w:t> </w:t>
      </w:r>
      <w:r>
        <w:rPr>
          <w:sz w:val="18"/>
        </w:rPr>
        <w:t>mené</w:t>
      </w:r>
      <w:r>
        <w:rPr>
          <w:spacing w:val="-7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étroite</w:t>
      </w:r>
      <w:r>
        <w:rPr>
          <w:spacing w:val="-7"/>
          <w:sz w:val="18"/>
        </w:rPr>
        <w:t> </w:t>
      </w:r>
      <w:r>
        <w:rPr>
          <w:sz w:val="18"/>
        </w:rPr>
        <w:t>articulation</w:t>
      </w:r>
      <w:r>
        <w:rPr>
          <w:spacing w:val="-8"/>
          <w:sz w:val="18"/>
        </w:rPr>
        <w:t> </w:t>
      </w:r>
      <w:r>
        <w:rPr>
          <w:sz w:val="18"/>
        </w:rPr>
        <w:t>avec</w:t>
      </w:r>
      <w:r>
        <w:rPr>
          <w:spacing w:val="-7"/>
          <w:sz w:val="18"/>
        </w:rPr>
        <w:t> </w:t>
      </w:r>
      <w:r>
        <w:rPr>
          <w:sz w:val="18"/>
        </w:rPr>
        <w:t>la</w:t>
      </w:r>
      <w:r>
        <w:rPr>
          <w:spacing w:val="-7"/>
          <w:sz w:val="18"/>
        </w:rPr>
        <w:t> </w:t>
      </w:r>
      <w:r>
        <w:rPr>
          <w:sz w:val="18"/>
        </w:rPr>
        <w:t>feuille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route</w:t>
      </w:r>
      <w:r>
        <w:rPr>
          <w:spacing w:val="-7"/>
          <w:sz w:val="18"/>
        </w:rPr>
        <w:t> </w:t>
      </w:r>
      <w:r>
        <w:rPr>
          <w:sz w:val="18"/>
        </w:rPr>
        <w:t>recherche</w:t>
      </w:r>
      <w:r>
        <w:rPr>
          <w:spacing w:val="-7"/>
          <w:sz w:val="18"/>
        </w:rPr>
        <w:t> </w:t>
      </w:r>
      <w:r>
        <w:rPr>
          <w:sz w:val="18"/>
        </w:rPr>
        <w:t>discutée</w:t>
      </w:r>
      <w:r>
        <w:rPr>
          <w:spacing w:val="-7"/>
          <w:sz w:val="18"/>
        </w:rPr>
        <w:t> </w:t>
      </w:r>
      <w:r>
        <w:rPr>
          <w:sz w:val="18"/>
        </w:rPr>
        <w:t>lors</w:t>
      </w:r>
      <w:r>
        <w:rPr>
          <w:spacing w:val="-6"/>
          <w:sz w:val="18"/>
        </w:rPr>
        <w:t> </w:t>
      </w:r>
      <w:r>
        <w:rPr>
          <w:sz w:val="18"/>
        </w:rPr>
        <w:t>d’une réunion internationale organisée par l’Organisation Mondiale de la Santé au début du mois de</w:t>
      </w:r>
      <w:r>
        <w:rPr>
          <w:spacing w:val="-16"/>
          <w:sz w:val="18"/>
        </w:rPr>
        <w:t> </w:t>
      </w:r>
      <w:r>
        <w:rPr>
          <w:sz w:val="18"/>
        </w:rPr>
        <w:t>juin.</w:t>
      </w:r>
    </w:p>
    <w:p>
      <w:pPr>
        <w:pStyle w:val="BodyText"/>
        <w:spacing w:before="159"/>
        <w:ind w:left="116"/>
        <w:jc w:val="both"/>
      </w:pPr>
      <w:r>
        <w:rPr/>
        <w:t>Les priorités de recherche retenues sont les suivantes 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9" w:lineRule="auto" w:before="174" w:after="0"/>
        <w:ind w:left="835" w:right="113" w:hanging="360"/>
        <w:jc w:val="both"/>
        <w:rPr>
          <w:sz w:val="18"/>
        </w:rPr>
      </w:pPr>
      <w:r>
        <w:rPr>
          <w:b/>
          <w:sz w:val="18"/>
        </w:rPr>
        <w:t>Etudes des réservoirs animaux </w:t>
      </w:r>
      <w:r>
        <w:rPr>
          <w:sz w:val="18"/>
        </w:rPr>
        <w:t>: identification des espèces responsables du spill-over dans les zones endémiques (franchissement de la barrière d’espèces par le virus, avec transmission de l’animal à l’homme </w:t>
      </w:r>
      <w:r>
        <w:rPr>
          <w:i/>
          <w:sz w:val="18"/>
        </w:rPr>
        <w:t>via </w:t>
      </w:r>
      <w:r>
        <w:rPr>
          <w:sz w:val="18"/>
        </w:rPr>
        <w:t>des rongeurs, chauve-souris, primates non-humains…), risque et prévention du spillback dans les zones ayant connu des foyers épidémiques</w:t>
      </w:r>
      <w:r>
        <w:rPr>
          <w:spacing w:val="-5"/>
          <w:sz w:val="18"/>
        </w:rPr>
        <w:t> </w:t>
      </w:r>
      <w:r>
        <w:rPr>
          <w:sz w:val="18"/>
        </w:rPr>
        <w:t>récents</w:t>
      </w:r>
      <w:r>
        <w:rPr>
          <w:spacing w:val="-5"/>
          <w:sz w:val="18"/>
        </w:rPr>
        <w:t> </w:t>
      </w:r>
      <w:r>
        <w:rPr>
          <w:sz w:val="18"/>
        </w:rPr>
        <w:t>(franchissement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barrière</w:t>
      </w:r>
      <w:r>
        <w:rPr>
          <w:spacing w:val="-4"/>
          <w:sz w:val="18"/>
        </w:rPr>
        <w:t> </w:t>
      </w:r>
      <w:r>
        <w:rPr>
          <w:sz w:val="18"/>
        </w:rPr>
        <w:t>d’espèces</w:t>
      </w:r>
      <w:r>
        <w:rPr>
          <w:spacing w:val="-5"/>
          <w:sz w:val="18"/>
        </w:rPr>
        <w:t> </w:t>
      </w:r>
      <w:r>
        <w:rPr>
          <w:sz w:val="18"/>
        </w:rPr>
        <w:t>inverse</w:t>
      </w:r>
      <w:r>
        <w:rPr>
          <w:spacing w:val="-5"/>
          <w:sz w:val="18"/>
        </w:rPr>
        <w:t> </w:t>
      </w:r>
      <w:r>
        <w:rPr>
          <w:sz w:val="18"/>
        </w:rPr>
        <w:t>du</w:t>
      </w:r>
      <w:r>
        <w:rPr>
          <w:spacing w:val="-2"/>
          <w:sz w:val="18"/>
        </w:rPr>
        <w:t> </w:t>
      </w:r>
      <w:r>
        <w:rPr>
          <w:sz w:val="18"/>
        </w:rPr>
        <w:t>premier</w:t>
      </w:r>
      <w:r>
        <w:rPr>
          <w:spacing w:val="-4"/>
          <w:sz w:val="18"/>
        </w:rPr>
        <w:t> </w:t>
      </w:r>
      <w:r>
        <w:rPr>
          <w:sz w:val="18"/>
        </w:rPr>
        <w:t>avec</w:t>
      </w:r>
      <w:r>
        <w:rPr>
          <w:spacing w:val="-5"/>
          <w:sz w:val="18"/>
        </w:rPr>
        <w:t> </w:t>
      </w:r>
      <w:r>
        <w:rPr>
          <w:sz w:val="18"/>
        </w:rPr>
        <w:t>transmission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l’homme</w:t>
      </w:r>
      <w:r>
        <w:rPr>
          <w:spacing w:val="-5"/>
          <w:sz w:val="18"/>
        </w:rPr>
        <w:t> </w:t>
      </w:r>
      <w:r>
        <w:rPr>
          <w:sz w:val="18"/>
        </w:rPr>
        <w:t>vers l’animal </w:t>
      </w:r>
      <w:r>
        <w:rPr>
          <w:i/>
          <w:sz w:val="18"/>
        </w:rPr>
        <w:t>via </w:t>
      </w:r>
      <w:r>
        <w:rPr>
          <w:sz w:val="18"/>
        </w:rPr>
        <w:t>des animaux de compagnie, la faune locale…)</w:t>
      </w:r>
      <w:r>
        <w:rPr>
          <w:spacing w:val="-3"/>
          <w:sz w:val="18"/>
        </w:rPr>
        <w:t> </w:t>
      </w:r>
      <w:r>
        <w:rPr>
          <w:sz w:val="18"/>
        </w:rPr>
        <w:t>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5" w:right="0" w:hanging="361"/>
        <w:jc w:val="left"/>
        <w:rPr>
          <w:sz w:val="18"/>
        </w:rPr>
      </w:pPr>
      <w:r>
        <w:rPr>
          <w:b/>
          <w:sz w:val="18"/>
        </w:rPr>
        <w:t>Développement de méthodes diagnostiques adaptées </w:t>
      </w:r>
      <w:r>
        <w:rPr>
          <w:sz w:val="18"/>
        </w:rPr>
        <w:t>: moléculaires, sérologiques, chez l’homme et l’animal</w:t>
      </w:r>
      <w:r>
        <w:rPr>
          <w:spacing w:val="-20"/>
          <w:sz w:val="18"/>
        </w:rPr>
        <w:t> </w:t>
      </w:r>
      <w:r>
        <w:rPr>
          <w:sz w:val="18"/>
        </w:rPr>
        <w:t>;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56" w:lineRule="auto" w:before="0" w:after="0"/>
        <w:ind w:left="835" w:right="113" w:hanging="360"/>
        <w:jc w:val="both"/>
        <w:rPr>
          <w:sz w:val="18"/>
        </w:rPr>
      </w:pPr>
      <w:r>
        <w:rPr>
          <w:b/>
          <w:sz w:val="18"/>
        </w:rPr>
        <w:t>Dynamique de circulation du virus (chez l’animal et chez l’homme) et modes de transmission interhumaine </w:t>
      </w:r>
      <w:r>
        <w:rPr>
          <w:sz w:val="18"/>
        </w:rPr>
        <w:t>: séroprévalence,</w:t>
      </w:r>
      <w:r>
        <w:rPr>
          <w:spacing w:val="-13"/>
          <w:sz w:val="18"/>
        </w:rPr>
        <w:t> </w:t>
      </w:r>
      <w:r>
        <w:rPr>
          <w:sz w:val="18"/>
        </w:rPr>
        <w:t>transmission</w:t>
      </w:r>
      <w:r>
        <w:rPr>
          <w:spacing w:val="-11"/>
          <w:sz w:val="18"/>
        </w:rPr>
        <w:t> </w:t>
      </w:r>
      <w:r>
        <w:rPr>
          <w:sz w:val="18"/>
        </w:rPr>
        <w:t>sexuelle,</w:t>
      </w:r>
      <w:r>
        <w:rPr>
          <w:spacing w:val="-12"/>
          <w:sz w:val="18"/>
        </w:rPr>
        <w:t> </w:t>
      </w:r>
      <w:r>
        <w:rPr>
          <w:sz w:val="18"/>
        </w:rPr>
        <w:t>transmission</w:t>
      </w:r>
      <w:r>
        <w:rPr>
          <w:spacing w:val="-12"/>
          <w:sz w:val="18"/>
        </w:rPr>
        <w:t> </w:t>
      </w:r>
      <w:r>
        <w:rPr>
          <w:sz w:val="18"/>
        </w:rPr>
        <w:t>par</w:t>
      </w:r>
      <w:r>
        <w:rPr>
          <w:spacing w:val="-12"/>
          <w:sz w:val="18"/>
        </w:rPr>
        <w:t> </w:t>
      </w:r>
      <w:r>
        <w:rPr>
          <w:sz w:val="18"/>
        </w:rPr>
        <w:t>gouttelettes,</w:t>
      </w:r>
      <w:r>
        <w:rPr>
          <w:spacing w:val="-12"/>
          <w:sz w:val="18"/>
        </w:rPr>
        <w:t> </w:t>
      </w:r>
      <w:r>
        <w:rPr>
          <w:sz w:val="18"/>
        </w:rPr>
        <w:t>persistance</w:t>
      </w:r>
      <w:r>
        <w:rPr>
          <w:spacing w:val="-13"/>
          <w:sz w:val="18"/>
        </w:rPr>
        <w:t> </w:t>
      </w:r>
      <w:r>
        <w:rPr>
          <w:sz w:val="18"/>
        </w:rPr>
        <w:t>du</w:t>
      </w:r>
      <w:r>
        <w:rPr>
          <w:spacing w:val="-14"/>
          <w:sz w:val="18"/>
        </w:rPr>
        <w:t> </w:t>
      </w:r>
      <w:r>
        <w:rPr>
          <w:sz w:val="18"/>
        </w:rPr>
        <w:t>virus</w:t>
      </w:r>
      <w:r>
        <w:rPr>
          <w:spacing w:val="-14"/>
          <w:sz w:val="18"/>
        </w:rPr>
        <w:t> </w:t>
      </w:r>
      <w:r>
        <w:rPr>
          <w:sz w:val="18"/>
        </w:rPr>
        <w:t>dans</w:t>
      </w:r>
      <w:r>
        <w:rPr>
          <w:spacing w:val="-13"/>
          <w:sz w:val="18"/>
        </w:rPr>
        <w:t> </w:t>
      </w:r>
      <w:r>
        <w:rPr>
          <w:sz w:val="18"/>
        </w:rPr>
        <w:t>les</w:t>
      </w:r>
      <w:r>
        <w:rPr>
          <w:spacing w:val="-13"/>
          <w:sz w:val="18"/>
        </w:rPr>
        <w:t> </w:t>
      </w:r>
      <w:r>
        <w:rPr>
          <w:sz w:val="18"/>
        </w:rPr>
        <w:t>fluides</w:t>
      </w:r>
      <w:r>
        <w:rPr>
          <w:spacing w:val="-13"/>
          <w:sz w:val="18"/>
        </w:rPr>
        <w:t> </w:t>
      </w:r>
      <w:r>
        <w:rPr>
          <w:sz w:val="18"/>
        </w:rPr>
        <w:t>biologiques, étude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durée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contagiosité,</w:t>
      </w:r>
      <w:r>
        <w:rPr>
          <w:spacing w:val="-11"/>
          <w:sz w:val="18"/>
        </w:rPr>
        <w:t> </w:t>
      </w:r>
      <w:r>
        <w:rPr>
          <w:sz w:val="18"/>
        </w:rPr>
        <w:t>étude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modélisation</w:t>
      </w:r>
      <w:r>
        <w:rPr>
          <w:spacing w:val="-9"/>
          <w:sz w:val="18"/>
        </w:rPr>
        <w:t> </w:t>
      </w:r>
      <w:r>
        <w:rPr>
          <w:sz w:val="18"/>
        </w:rPr>
        <w:t>afin</w:t>
      </w:r>
      <w:r>
        <w:rPr>
          <w:spacing w:val="-12"/>
          <w:sz w:val="18"/>
        </w:rPr>
        <w:t> </w:t>
      </w:r>
      <w:r>
        <w:rPr>
          <w:sz w:val="18"/>
        </w:rPr>
        <w:t>d’anticiper</w:t>
      </w:r>
      <w:r>
        <w:rPr>
          <w:spacing w:val="-11"/>
          <w:sz w:val="18"/>
        </w:rPr>
        <w:t> </w:t>
      </w:r>
      <w:r>
        <w:rPr>
          <w:sz w:val="18"/>
        </w:rPr>
        <w:t>et</w:t>
      </w:r>
      <w:r>
        <w:rPr>
          <w:spacing w:val="-10"/>
          <w:sz w:val="18"/>
        </w:rPr>
        <w:t> </w:t>
      </w:r>
      <w:r>
        <w:rPr>
          <w:sz w:val="18"/>
        </w:rPr>
        <w:t>orienter</w:t>
      </w:r>
      <w:r>
        <w:rPr>
          <w:spacing w:val="-10"/>
          <w:sz w:val="18"/>
        </w:rPr>
        <w:t> </w:t>
      </w:r>
      <w:r>
        <w:rPr>
          <w:sz w:val="18"/>
        </w:rPr>
        <w:t>les</w:t>
      </w:r>
      <w:r>
        <w:rPr>
          <w:spacing w:val="-11"/>
          <w:sz w:val="18"/>
        </w:rPr>
        <w:t> </w:t>
      </w:r>
      <w:r>
        <w:rPr>
          <w:sz w:val="18"/>
        </w:rPr>
        <w:t>politiques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z w:val="18"/>
        </w:rPr>
        <w:t>santé</w:t>
      </w:r>
      <w:r>
        <w:rPr>
          <w:spacing w:val="-12"/>
          <w:sz w:val="18"/>
        </w:rPr>
        <w:t> </w:t>
      </w:r>
      <w:r>
        <w:rPr>
          <w:sz w:val="18"/>
        </w:rPr>
        <w:t>publique</w:t>
      </w:r>
      <w:r>
        <w:rPr>
          <w:spacing w:val="-2"/>
          <w:sz w:val="18"/>
        </w:rPr>
        <w:t> </w:t>
      </w:r>
      <w:r>
        <w:rPr>
          <w:sz w:val="18"/>
        </w:rPr>
        <w:t>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56" w:lineRule="auto" w:before="0" w:after="0"/>
        <w:ind w:left="835" w:right="114" w:hanging="360"/>
        <w:jc w:val="both"/>
        <w:rPr>
          <w:sz w:val="18"/>
        </w:rPr>
      </w:pPr>
      <w:r>
        <w:rPr>
          <w:b/>
          <w:sz w:val="18"/>
        </w:rPr>
        <w:t>Histoire naturelle et physiopathologie de l’infection </w:t>
      </w:r>
      <w:r>
        <w:rPr>
          <w:sz w:val="18"/>
        </w:rPr>
        <w:t>: interactions virus/hôtes, pathogénèse, études de virulence (rôle des mutations dans la pathogénèse), études de la réponse immunitaire</w:t>
      </w:r>
      <w:r>
        <w:rPr>
          <w:spacing w:val="-12"/>
          <w:sz w:val="18"/>
        </w:rPr>
        <w:t> </w:t>
      </w:r>
      <w:r>
        <w:rPr>
          <w:sz w:val="18"/>
        </w:rPr>
        <w:t>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59" w:lineRule="auto" w:before="0" w:after="0"/>
        <w:ind w:left="835" w:right="112" w:hanging="360"/>
        <w:jc w:val="both"/>
        <w:rPr>
          <w:sz w:val="18"/>
        </w:rPr>
      </w:pPr>
      <w:r>
        <w:rPr>
          <w:b/>
          <w:sz w:val="18"/>
        </w:rPr>
        <w:t>Etudes en sciences humaines et sociales notamment dans les populations les plus exposées </w:t>
      </w:r>
      <w:r>
        <w:rPr>
          <w:sz w:val="18"/>
        </w:rPr>
        <w:t>: analyse de la perception et de la compréhension de l’infection, déterminants socio-environnementaux de l’exposition,</w:t>
      </w:r>
      <w:r>
        <w:rPr>
          <w:spacing w:val="17"/>
          <w:sz w:val="18"/>
        </w:rPr>
        <w:t> </w:t>
      </w:r>
      <w:r>
        <w:rPr>
          <w:sz w:val="18"/>
        </w:rPr>
        <w:t>prévention</w:t>
      </w:r>
    </w:p>
    <w:p>
      <w:pPr>
        <w:spacing w:after="0" w:line="259" w:lineRule="auto"/>
        <w:jc w:val="both"/>
        <w:rPr>
          <w:sz w:val="18"/>
        </w:rPr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line="259" w:lineRule="auto" w:before="72"/>
        <w:ind w:left="835"/>
      </w:pPr>
      <w:r>
        <w:rPr/>
        <w:t>et sensibilisation pour les populations exposées, perception des mesures barrières, analyse des dynamiques de mobilisations collectives, logiques de la réponse des pouvoirs publics.</w:t>
      </w:r>
    </w:p>
    <w:p>
      <w:pPr>
        <w:pStyle w:val="BodyText"/>
        <w:spacing w:line="259" w:lineRule="auto" w:before="161"/>
        <w:ind w:left="116" w:right="114" w:hanging="1"/>
        <w:jc w:val="both"/>
      </w:pPr>
      <w:r>
        <w:rPr/>
        <w:t>Pour assurer la bonne circulation de l’information et favoriser l’élaboration de projets de recherche autour de ces priorités, l’ANRS | Maladies infectieuses émergentes a mobilisé la communauté scientifique et mis en place des groupes de travail.</w:t>
      </w:r>
    </w:p>
    <w:p>
      <w:pPr>
        <w:pStyle w:val="BodyText"/>
        <w:spacing w:line="259" w:lineRule="auto" w:before="160"/>
        <w:ind w:left="116" w:right="114"/>
        <w:jc w:val="both"/>
      </w:pPr>
      <w:r>
        <w:rPr/>
        <w:t>Deux</w:t>
      </w:r>
      <w:r>
        <w:rPr>
          <w:spacing w:val="-10"/>
        </w:rPr>
        <w:t> </w:t>
      </w:r>
      <w:r>
        <w:rPr/>
        <w:t>projets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recherche</w:t>
      </w:r>
      <w:r>
        <w:rPr>
          <w:spacing w:val="-10"/>
        </w:rPr>
        <w:t> </w:t>
      </w:r>
      <w:r>
        <w:rPr/>
        <w:t>structurants</w:t>
      </w:r>
      <w:r>
        <w:rPr>
          <w:spacing w:val="-9"/>
        </w:rPr>
        <w:t> </w:t>
      </w:r>
      <w:r>
        <w:rPr/>
        <w:t>ont</w:t>
      </w:r>
      <w:r>
        <w:rPr>
          <w:spacing w:val="-11"/>
        </w:rPr>
        <w:t> </w:t>
      </w:r>
      <w:r>
        <w:rPr/>
        <w:t>d’ores</w:t>
      </w:r>
      <w:r>
        <w:rPr>
          <w:spacing w:val="-8"/>
        </w:rPr>
        <w:t> </w:t>
      </w:r>
      <w:r>
        <w:rPr/>
        <w:t>et</w:t>
      </w:r>
      <w:r>
        <w:rPr>
          <w:spacing w:val="-11"/>
        </w:rPr>
        <w:t> </w:t>
      </w:r>
      <w:r>
        <w:rPr/>
        <w:t>déjà</w:t>
      </w:r>
      <w:r>
        <w:rPr>
          <w:spacing w:val="-9"/>
        </w:rPr>
        <w:t> </w:t>
      </w:r>
      <w:r>
        <w:rPr/>
        <w:t>été</w:t>
      </w:r>
      <w:r>
        <w:rPr>
          <w:spacing w:val="-10"/>
        </w:rPr>
        <w:t> </w:t>
      </w:r>
      <w:r>
        <w:rPr/>
        <w:t>initiés</w:t>
      </w:r>
      <w:r>
        <w:rPr>
          <w:spacing w:val="-9"/>
        </w:rPr>
        <w:t> </w:t>
      </w:r>
      <w:r>
        <w:rPr/>
        <w:t>après</w:t>
      </w:r>
      <w:r>
        <w:rPr>
          <w:spacing w:val="-10"/>
        </w:rPr>
        <w:t> </w:t>
      </w:r>
      <w:r>
        <w:rPr/>
        <w:t>leur</w:t>
      </w:r>
      <w:r>
        <w:rPr>
          <w:spacing w:val="-9"/>
        </w:rPr>
        <w:t> </w:t>
      </w:r>
      <w:r>
        <w:rPr/>
        <w:t>évaluation</w:t>
      </w:r>
      <w:r>
        <w:rPr>
          <w:spacing w:val="-9"/>
        </w:rPr>
        <w:t> </w:t>
      </w:r>
      <w:r>
        <w:rPr/>
        <w:t>par</w:t>
      </w:r>
      <w:r>
        <w:rPr>
          <w:spacing w:val="-9"/>
        </w:rPr>
        <w:t> </w:t>
      </w:r>
      <w:r>
        <w:rPr/>
        <w:t>un</w:t>
      </w:r>
      <w:r>
        <w:rPr>
          <w:spacing w:val="-7"/>
        </w:rPr>
        <w:t> </w:t>
      </w:r>
      <w:r>
        <w:rPr/>
        <w:t>conseil</w:t>
      </w:r>
      <w:r>
        <w:rPr>
          <w:spacing w:val="-11"/>
        </w:rPr>
        <w:t> </w:t>
      </w:r>
      <w:r>
        <w:rPr/>
        <w:t>scientifique</w:t>
      </w:r>
      <w:r>
        <w:rPr>
          <w:spacing w:val="-9"/>
        </w:rPr>
        <w:t> </w:t>
      </w:r>
      <w:r>
        <w:rPr/>
        <w:t>indépendant et grâce au soutien financier du ministère de la Santé et de la Prévention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6" w:lineRule="auto" w:before="164" w:after="0"/>
        <w:ind w:left="835" w:right="114" w:hanging="360"/>
        <w:jc w:val="both"/>
        <w:rPr>
          <w:sz w:val="18"/>
        </w:rPr>
      </w:pPr>
      <w:r>
        <w:rPr>
          <w:b/>
          <w:sz w:val="18"/>
        </w:rPr>
        <w:t>Lancement d’une</w:t>
      </w:r>
      <w:r>
        <w:rPr>
          <w:b/>
          <w:color w:val="0562C1"/>
          <w:sz w:val="18"/>
        </w:rPr>
        <w:t> </w:t>
      </w:r>
      <w:hyperlink r:id="rId8">
        <w:r>
          <w:rPr>
            <w:b/>
            <w:color w:val="0562C1"/>
            <w:sz w:val="18"/>
            <w:u w:val="single" w:color="0562C1"/>
          </w:rPr>
          <w:t>cohorte internationale</w:t>
        </w:r>
        <w:r>
          <w:rPr>
            <w:b/>
            <w:color w:val="0562C1"/>
            <w:sz w:val="18"/>
          </w:rPr>
          <w:t> </w:t>
        </w:r>
      </w:hyperlink>
      <w:r>
        <w:rPr>
          <w:b/>
          <w:sz w:val="18"/>
        </w:rPr>
        <w:t>de personnes infectées par le virus de la variole simienne (ANRS MOSAIC)</w:t>
      </w:r>
      <w:r>
        <w:rPr>
          <w:sz w:val="18"/>
        </w:rPr>
        <w:t>, en collaboration avec l’Université d’Oxford, les Hôpitaux Universitaires de Genève, et coordonnée par l’ANRS | Maladies infectieuses émergentes pour l’Europe. Ce projet vise à mieux comprendre la maladie et évaluer l’impact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prise</w:t>
      </w:r>
      <w:r>
        <w:rPr>
          <w:spacing w:val="-3"/>
          <w:sz w:val="18"/>
        </w:rPr>
        <w:t> </w:t>
      </w:r>
      <w:r>
        <w:rPr>
          <w:sz w:val="18"/>
        </w:rPr>
        <w:t>en charge</w:t>
      </w:r>
      <w:r>
        <w:rPr>
          <w:spacing w:val="-3"/>
          <w:sz w:val="18"/>
        </w:rPr>
        <w:t> </w:t>
      </w:r>
      <w:r>
        <w:rPr>
          <w:sz w:val="18"/>
        </w:rPr>
        <w:t>des</w:t>
      </w:r>
      <w:r>
        <w:rPr>
          <w:spacing w:val="-5"/>
          <w:sz w:val="18"/>
        </w:rPr>
        <w:t> </w:t>
      </w:r>
      <w:r>
        <w:rPr>
          <w:sz w:val="18"/>
        </w:rPr>
        <w:t>patients</w:t>
      </w:r>
      <w:r>
        <w:rPr>
          <w:spacing w:val="-2"/>
          <w:sz w:val="18"/>
        </w:rPr>
        <w:t> </w:t>
      </w:r>
      <w:r>
        <w:rPr>
          <w:sz w:val="18"/>
        </w:rPr>
        <w:t>infectés. Les</w:t>
      </w:r>
      <w:r>
        <w:rPr>
          <w:spacing w:val="-2"/>
          <w:sz w:val="18"/>
        </w:rPr>
        <w:t> </w:t>
      </w:r>
      <w:r>
        <w:rPr>
          <w:sz w:val="18"/>
        </w:rPr>
        <w:t>premiers</w:t>
      </w:r>
      <w:r>
        <w:rPr>
          <w:spacing w:val="-2"/>
          <w:sz w:val="18"/>
        </w:rPr>
        <w:t> </w:t>
      </w:r>
      <w:r>
        <w:rPr>
          <w:sz w:val="18"/>
        </w:rPr>
        <w:t>patients</w:t>
      </w:r>
      <w:r>
        <w:rPr>
          <w:spacing w:val="-2"/>
          <w:sz w:val="18"/>
        </w:rPr>
        <w:t> </w:t>
      </w:r>
      <w:r>
        <w:rPr>
          <w:sz w:val="18"/>
        </w:rPr>
        <w:t>ont</w:t>
      </w:r>
      <w:r>
        <w:rPr>
          <w:spacing w:val="-4"/>
          <w:sz w:val="18"/>
        </w:rPr>
        <w:t> </w:t>
      </w:r>
      <w:r>
        <w:rPr>
          <w:sz w:val="18"/>
        </w:rPr>
        <w:t>été</w:t>
      </w:r>
      <w:r>
        <w:rPr>
          <w:spacing w:val="-2"/>
          <w:sz w:val="18"/>
        </w:rPr>
        <w:t> </w:t>
      </w:r>
      <w:r>
        <w:rPr>
          <w:sz w:val="18"/>
        </w:rPr>
        <w:t>inclus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France</w:t>
      </w:r>
      <w:r>
        <w:rPr>
          <w:spacing w:val="-5"/>
          <w:sz w:val="18"/>
        </w:rPr>
        <w:t> </w:t>
      </w:r>
      <w:r>
        <w:rPr>
          <w:sz w:val="18"/>
        </w:rPr>
        <w:t>le</w:t>
      </w:r>
      <w:r>
        <w:rPr>
          <w:spacing w:val="-2"/>
          <w:sz w:val="18"/>
        </w:rPr>
        <w:t> </w:t>
      </w:r>
      <w:r>
        <w:rPr>
          <w:sz w:val="18"/>
        </w:rPr>
        <w:t>13</w:t>
      </w:r>
      <w:r>
        <w:rPr>
          <w:spacing w:val="-1"/>
          <w:sz w:val="18"/>
        </w:rPr>
        <w:t> </w:t>
      </w:r>
      <w:r>
        <w:rPr>
          <w:sz w:val="18"/>
        </w:rPr>
        <w:t>juillet</w:t>
      </w:r>
      <w:r>
        <w:rPr>
          <w:spacing w:val="-4"/>
          <w:sz w:val="18"/>
        </w:rPr>
        <w:t> </w:t>
      </w:r>
      <w:r>
        <w:rPr>
          <w:sz w:val="18"/>
        </w:rPr>
        <w:t>2022</w:t>
      </w:r>
      <w:r>
        <w:rPr>
          <w:spacing w:val="-1"/>
          <w:sz w:val="18"/>
        </w:rPr>
        <w:t> </w:t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56" w:lineRule="auto" w:before="2" w:after="0"/>
        <w:ind w:left="835" w:right="116" w:hanging="360"/>
        <w:jc w:val="both"/>
        <w:rPr>
          <w:sz w:val="18"/>
        </w:rPr>
      </w:pPr>
      <w:r>
        <w:rPr>
          <w:b/>
          <w:sz w:val="18"/>
        </w:rPr>
        <w:t>Mise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en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place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d’une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cohorte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personnes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contacts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à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risque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d’infection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Monkeypox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(MONKEY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VAX)</w:t>
      </w:r>
      <w:r>
        <w:rPr>
          <w:sz w:val="18"/>
        </w:rPr>
        <w:t>,</w:t>
      </w:r>
      <w:r>
        <w:rPr>
          <w:spacing w:val="-6"/>
          <w:sz w:val="18"/>
        </w:rPr>
        <w:t> </w:t>
      </w:r>
      <w:r>
        <w:rPr>
          <w:sz w:val="18"/>
        </w:rPr>
        <w:t>promue par</w:t>
      </w:r>
      <w:r>
        <w:rPr>
          <w:spacing w:val="-4"/>
          <w:sz w:val="18"/>
        </w:rPr>
        <w:t> </w:t>
      </w:r>
      <w:r>
        <w:rPr>
          <w:sz w:val="18"/>
        </w:rPr>
        <w:t>l’AP-HP,</w:t>
      </w:r>
      <w:r>
        <w:rPr>
          <w:spacing w:val="-4"/>
          <w:sz w:val="18"/>
        </w:rPr>
        <w:t> </w:t>
      </w:r>
      <w:r>
        <w:rPr>
          <w:sz w:val="18"/>
        </w:rPr>
        <w:t>et</w:t>
      </w:r>
      <w:r>
        <w:rPr>
          <w:spacing w:val="-6"/>
          <w:sz w:val="18"/>
        </w:rPr>
        <w:t> </w:t>
      </w:r>
      <w:r>
        <w:rPr>
          <w:sz w:val="18"/>
        </w:rPr>
        <w:t>qui</w:t>
      </w:r>
      <w:r>
        <w:rPr>
          <w:spacing w:val="-6"/>
          <w:sz w:val="18"/>
        </w:rPr>
        <w:t> </w:t>
      </w:r>
      <w:r>
        <w:rPr>
          <w:sz w:val="18"/>
        </w:rPr>
        <w:t>permettra</w:t>
      </w:r>
      <w:r>
        <w:rPr>
          <w:spacing w:val="-5"/>
          <w:sz w:val="18"/>
        </w:rPr>
        <w:t> </w:t>
      </w:r>
      <w:r>
        <w:rPr>
          <w:sz w:val="18"/>
        </w:rPr>
        <w:t>d’étudier</w:t>
      </w:r>
      <w:r>
        <w:rPr>
          <w:spacing w:val="-4"/>
          <w:sz w:val="18"/>
        </w:rPr>
        <w:t> </w:t>
      </w:r>
      <w:r>
        <w:rPr>
          <w:sz w:val="18"/>
        </w:rPr>
        <w:t>l’efficacité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vaccination</w:t>
      </w:r>
      <w:r>
        <w:rPr>
          <w:spacing w:val="-5"/>
          <w:sz w:val="18"/>
        </w:rPr>
        <w:t> </w:t>
      </w:r>
      <w:r>
        <w:rPr>
          <w:sz w:val="18"/>
        </w:rPr>
        <w:t>post-exposition</w:t>
      </w:r>
      <w:r>
        <w:rPr>
          <w:spacing w:val="-3"/>
          <w:sz w:val="18"/>
        </w:rPr>
        <w:t> </w:t>
      </w:r>
      <w:r>
        <w:rPr>
          <w:sz w:val="18"/>
        </w:rPr>
        <w:t>(vaccin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troisième</w:t>
      </w:r>
      <w:r>
        <w:rPr>
          <w:spacing w:val="-5"/>
          <w:sz w:val="18"/>
        </w:rPr>
        <w:t> </w:t>
      </w:r>
      <w:r>
        <w:rPr>
          <w:sz w:val="18"/>
        </w:rPr>
        <w:t>génération développé contre la variole). Les premiers patients ont été inclus en France le 13 juillet</w:t>
      </w:r>
      <w:r>
        <w:rPr>
          <w:spacing w:val="-13"/>
          <w:sz w:val="18"/>
        </w:rPr>
        <w:t> </w:t>
      </w:r>
      <w:r>
        <w:rPr>
          <w:sz w:val="18"/>
        </w:rPr>
        <w:t>2022.</w:t>
      </w:r>
    </w:p>
    <w:p>
      <w:pPr>
        <w:pStyle w:val="BodyText"/>
        <w:spacing w:line="256" w:lineRule="auto" w:before="164"/>
        <w:ind w:left="115" w:right="111" w:hanging="1"/>
        <w:jc w:val="both"/>
      </w:pPr>
      <w:r>
        <w:rPr/>
        <w:t>A la suite de </w:t>
      </w:r>
      <w:hyperlink r:id="rId9">
        <w:r>
          <w:rPr>
            <w:color w:val="0562C1"/>
            <w:u w:val="single" w:color="0562C1"/>
          </w:rPr>
          <w:t>l’avis du 7 juillet 2022</w:t>
        </w:r>
      </w:hyperlink>
      <w:r>
        <w:rPr>
          <w:color w:val="0562C1"/>
        </w:rPr>
        <w:t> </w:t>
      </w:r>
      <w:r>
        <w:rPr/>
        <w:t>de la Haute Autorité de Santé d’élargir la vaccination contre la variole en pré-exposition aux personnes les plus à risque de contracter le virus, un volet a été ajouté à l’étude ANRS DOXYVAC</w:t>
      </w:r>
      <w:hyperlink w:history="true" w:anchor="_bookmark0">
        <w:r>
          <w:rPr>
            <w:position w:val="6"/>
            <w:sz w:val="12"/>
          </w:rPr>
          <w:t>1</w:t>
        </w:r>
      </w:hyperlink>
      <w:r>
        <w:rPr>
          <w:position w:val="6"/>
          <w:sz w:val="12"/>
        </w:rPr>
        <w:t> </w:t>
      </w:r>
      <w:r>
        <w:rPr/>
        <w:t>après autorisation du Comité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/>
        <w:t>Personnes</w:t>
      </w:r>
      <w:r>
        <w:rPr>
          <w:spacing w:val="-5"/>
        </w:rPr>
        <w:t> </w:t>
      </w:r>
      <w:r>
        <w:rPr/>
        <w:t>(CPP)</w:t>
      </w:r>
      <w:r>
        <w:rPr>
          <w:spacing w:val="-3"/>
        </w:rPr>
        <w:t> </w:t>
      </w:r>
      <w:r>
        <w:rPr/>
        <w:t>et</w:t>
      </w:r>
      <w:r>
        <w:rPr>
          <w:spacing w:val="-6"/>
        </w:rPr>
        <w:t> </w:t>
      </w:r>
      <w:r>
        <w:rPr/>
        <w:t>permettra</w:t>
      </w:r>
      <w:r>
        <w:rPr>
          <w:spacing w:val="-5"/>
        </w:rPr>
        <w:t> </w:t>
      </w:r>
      <w:r>
        <w:rPr/>
        <w:t>d'évaluer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bénéfice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cette</w:t>
      </w:r>
      <w:r>
        <w:rPr>
          <w:spacing w:val="-5"/>
        </w:rPr>
        <w:t> </w:t>
      </w:r>
      <w:r>
        <w:rPr/>
        <w:t>vaccination</w:t>
      </w:r>
      <w:r>
        <w:rPr>
          <w:spacing w:val="-3"/>
        </w:rPr>
        <w:t> </w:t>
      </w:r>
      <w:r>
        <w:rPr/>
        <w:t>contre</w:t>
      </w:r>
      <w:r>
        <w:rPr>
          <w:spacing w:val="-5"/>
        </w:rPr>
        <w:t> </w:t>
      </w:r>
      <w:r>
        <w:rPr/>
        <w:t>l’infection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virus de la variole</w:t>
      </w:r>
      <w:r>
        <w:rPr>
          <w:spacing w:val="-4"/>
        </w:rPr>
        <w:t> </w:t>
      </w:r>
      <w:r>
        <w:rPr/>
        <w:t>simienne.</w:t>
      </w:r>
    </w:p>
    <w:p>
      <w:pPr>
        <w:pStyle w:val="BodyText"/>
        <w:spacing w:line="259" w:lineRule="auto" w:before="164"/>
        <w:ind w:left="115" w:right="116" w:hanging="1"/>
        <w:jc w:val="both"/>
      </w:pPr>
      <w:r>
        <w:rPr/>
        <w:t>Dès mi-juin, avec l’appui de l’équipe d’</w:t>
      </w:r>
      <w:hyperlink r:id="rId10">
        <w:r>
          <w:rPr>
            <w:color w:val="0562C1"/>
            <w:u w:val="single" w:color="0562C1"/>
          </w:rPr>
          <w:t>ERINHA</w:t>
        </w:r>
        <w:r>
          <w:rPr/>
          <w:t>,</w:t>
        </w:r>
      </w:hyperlink>
      <w:r>
        <w:rPr/>
        <w:t> l’infrastructure de recherche pan-européenne sur les micro-organismes hautement pathogènes, l’ANRS | Maladies infectieuses émergentes a lancé en urgence un </w:t>
      </w:r>
      <w:hyperlink r:id="rId11">
        <w:r>
          <w:rPr>
            <w:color w:val="0562C1"/>
            <w:u w:val="single" w:color="0562C1"/>
          </w:rPr>
          <w:t>appel à projets</w:t>
        </w:r>
        <w:r>
          <w:rPr>
            <w:color w:val="0562C1"/>
          </w:rPr>
          <w:t> </w:t>
        </w:r>
      </w:hyperlink>
      <w:r>
        <w:rPr/>
        <w:t>pour financer des travaux de recherche qui apporteront des connaissances à court terme sur la variole simienne.</w:t>
      </w:r>
    </w:p>
    <w:p>
      <w:pPr>
        <w:pStyle w:val="BodyText"/>
        <w:spacing w:line="259" w:lineRule="auto" w:before="160"/>
        <w:ind w:left="116" w:right="114" w:hanging="1"/>
        <w:jc w:val="both"/>
      </w:pPr>
      <w:r>
        <w:rPr>
          <w:b/>
        </w:rPr>
        <w:t>Dix</w:t>
      </w:r>
      <w:r>
        <w:rPr>
          <w:b/>
          <w:spacing w:val="-6"/>
        </w:rPr>
        <w:t> </w:t>
      </w:r>
      <w:r>
        <w:rPr>
          <w:b/>
        </w:rPr>
        <w:t>projets</w:t>
      </w:r>
      <w:r>
        <w:rPr>
          <w:b/>
          <w:spacing w:val="-5"/>
        </w:rPr>
        <w:t> </w:t>
      </w:r>
      <w:r>
        <w:rPr>
          <w:b/>
        </w:rPr>
        <w:t>ont</w:t>
      </w:r>
      <w:r>
        <w:rPr>
          <w:b/>
          <w:spacing w:val="-8"/>
        </w:rPr>
        <w:t> </w:t>
      </w:r>
      <w:r>
        <w:rPr>
          <w:b/>
        </w:rPr>
        <w:t>été</w:t>
      </w:r>
      <w:r>
        <w:rPr>
          <w:b/>
          <w:spacing w:val="-7"/>
        </w:rPr>
        <w:t> </w:t>
      </w:r>
      <w:r>
        <w:rPr>
          <w:b/>
        </w:rPr>
        <w:t>retenus</w:t>
      </w:r>
      <w:r>
        <w:rPr>
          <w:b/>
          <w:spacing w:val="-8"/>
        </w:rPr>
        <w:t> </w:t>
      </w:r>
      <w:r>
        <w:rPr>
          <w:b/>
        </w:rPr>
        <w:t>pour</w:t>
      </w:r>
      <w:r>
        <w:rPr>
          <w:b/>
          <w:spacing w:val="-5"/>
        </w:rPr>
        <w:t> </w:t>
      </w:r>
      <w:r>
        <w:rPr>
          <w:b/>
        </w:rPr>
        <w:t>financement</w:t>
      </w:r>
      <w:r>
        <w:rPr/>
        <w:t>,</w:t>
      </w:r>
      <w:r>
        <w:rPr>
          <w:spacing w:val="-6"/>
        </w:rPr>
        <w:t> </w:t>
      </w:r>
      <w:r>
        <w:rPr/>
        <w:t>grâce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</w:t>
      </w:r>
      <w:r>
        <w:rPr/>
        <w:t>soutien</w:t>
      </w:r>
      <w:r>
        <w:rPr>
          <w:spacing w:val="-6"/>
        </w:rPr>
        <w:t> </w:t>
      </w:r>
      <w:r>
        <w:rPr/>
        <w:t>du</w:t>
      </w:r>
      <w:r>
        <w:rPr>
          <w:spacing w:val="-8"/>
        </w:rPr>
        <w:t> </w:t>
      </w:r>
      <w:r>
        <w:rPr/>
        <w:t>ministère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lʼEnseignement</w:t>
      </w:r>
      <w:r>
        <w:rPr>
          <w:spacing w:val="-6"/>
        </w:rPr>
        <w:t> </w:t>
      </w:r>
      <w:r>
        <w:rPr/>
        <w:t>supérieur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Recherche, pour un total de près de trois millions d’euros. Ces projets répondent en partie aux priorités définies</w:t>
      </w:r>
      <w:r>
        <w:rPr>
          <w:spacing w:val="-23"/>
        </w:rPr>
        <w:t> </w:t>
      </w:r>
      <w:r>
        <w:rPr/>
        <w:t>précédemment.</w:t>
      </w:r>
    </w:p>
    <w:p>
      <w:pPr>
        <w:pStyle w:val="BodyText"/>
        <w:spacing w:line="259" w:lineRule="auto" w:before="157"/>
        <w:ind w:left="115" w:right="112"/>
        <w:jc w:val="both"/>
      </w:pPr>
      <w:r>
        <w:rPr/>
        <w:t>La variole simienne étant endémique en Afrique de l’Ouest et en Afrique centrale, cet appel à projets a également été ouvert aux pays à revenu faible et intermédiaire. L’ANRS | Maladies infectieuses émergentes, l’Institut national de recherche biomédicale en République démocratique du Congo (INRB), et le National Institute of Allergy and Infectious Diseases aux Etats-Unis (NIAID/NIH), en collaboration avec l’OMS, ont organisé deux consultations en juin et juillet 2022 afin d’élaborer un</w:t>
      </w:r>
      <w:r>
        <w:rPr>
          <w:spacing w:val="-3"/>
        </w:rPr>
        <w:t> </w:t>
      </w:r>
      <w:r>
        <w:rPr/>
        <w:t>protocole</w:t>
      </w:r>
      <w:r>
        <w:rPr>
          <w:spacing w:val="-3"/>
        </w:rPr>
        <w:t> </w:t>
      </w:r>
      <w:r>
        <w:rPr/>
        <w:t>commun</w:t>
      </w:r>
      <w:r>
        <w:rPr>
          <w:spacing w:val="-1"/>
        </w:rPr>
        <w:t> </w:t>
      </w:r>
      <w:r>
        <w:rPr/>
        <w:t>(CORE</w:t>
      </w:r>
      <w:r>
        <w:rPr>
          <w:spacing w:val="-4"/>
        </w:rPr>
        <w:t> </w:t>
      </w:r>
      <w:r>
        <w:rPr/>
        <w:t>protocol)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l’évaluation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traitements</w:t>
      </w:r>
      <w:r>
        <w:rPr>
          <w:spacing w:val="-2"/>
        </w:rPr>
        <w:t> </w:t>
      </w:r>
      <w:r>
        <w:rPr/>
        <w:t>chez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personnes</w:t>
      </w:r>
      <w:r>
        <w:rPr>
          <w:spacing w:val="-2"/>
        </w:rPr>
        <w:t> </w:t>
      </w:r>
      <w:r>
        <w:rPr/>
        <w:t>infectées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variole</w:t>
      </w:r>
      <w:r>
        <w:rPr>
          <w:spacing w:val="-4"/>
        </w:rPr>
        <w:t> </w:t>
      </w:r>
      <w:r>
        <w:rPr/>
        <w:t>simienne. Un</w:t>
      </w:r>
      <w:r>
        <w:rPr>
          <w:spacing w:val="-13"/>
        </w:rPr>
        <w:t> </w:t>
      </w:r>
      <w:r>
        <w:rPr/>
        <w:t>essai</w:t>
      </w:r>
      <w:r>
        <w:rPr>
          <w:spacing w:val="-13"/>
        </w:rPr>
        <w:t> </w:t>
      </w:r>
      <w:r>
        <w:rPr/>
        <w:t>clinique</w:t>
      </w:r>
      <w:r>
        <w:rPr>
          <w:spacing w:val="-14"/>
        </w:rPr>
        <w:t> </w:t>
      </w:r>
      <w:r>
        <w:rPr/>
        <w:t>multi-pays</w:t>
      </w:r>
      <w:r>
        <w:rPr>
          <w:spacing w:val="-12"/>
        </w:rPr>
        <w:t> </w:t>
      </w:r>
      <w:r>
        <w:rPr/>
        <w:t>évaluant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tolérance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l'efficacité</w:t>
      </w:r>
      <w:r>
        <w:rPr>
          <w:spacing w:val="-13"/>
        </w:rPr>
        <w:t> </w:t>
      </w:r>
      <w:r>
        <w:rPr/>
        <w:t>des</w:t>
      </w:r>
      <w:r>
        <w:rPr>
          <w:spacing w:val="-14"/>
        </w:rPr>
        <w:t> </w:t>
      </w:r>
      <w:r>
        <w:rPr/>
        <w:t>traitements,</w:t>
      </w:r>
      <w:r>
        <w:rPr>
          <w:spacing w:val="-12"/>
        </w:rPr>
        <w:t> </w:t>
      </w:r>
      <w:r>
        <w:rPr/>
        <w:t>basé</w:t>
      </w:r>
      <w:r>
        <w:rPr>
          <w:spacing w:val="-14"/>
        </w:rPr>
        <w:t> </w:t>
      </w:r>
      <w:r>
        <w:rPr/>
        <w:t>sur</w:t>
      </w:r>
      <w:r>
        <w:rPr>
          <w:spacing w:val="-13"/>
        </w:rPr>
        <w:t> </w:t>
      </w:r>
      <w:r>
        <w:rPr/>
        <w:t>ce</w:t>
      </w:r>
      <w:r>
        <w:rPr>
          <w:spacing w:val="-14"/>
        </w:rPr>
        <w:t> </w:t>
      </w:r>
      <w:r>
        <w:rPr/>
        <w:t>protocole,</w:t>
      </w:r>
      <w:r>
        <w:rPr>
          <w:spacing w:val="-12"/>
        </w:rPr>
        <w:t> </w:t>
      </w:r>
      <w:r>
        <w:rPr/>
        <w:t>sera</w:t>
      </w:r>
      <w:r>
        <w:rPr>
          <w:spacing w:val="-14"/>
        </w:rPr>
        <w:t> </w:t>
      </w:r>
      <w:r>
        <w:rPr/>
        <w:t>lancé</w:t>
      </w:r>
      <w:r>
        <w:rPr>
          <w:spacing w:val="-13"/>
        </w:rPr>
        <w:t> </w:t>
      </w:r>
      <w:r>
        <w:rPr/>
        <w:t>prochainement.</w:t>
      </w:r>
    </w:p>
    <w:p>
      <w:pPr>
        <w:spacing w:line="261" w:lineRule="auto" w:before="159"/>
        <w:ind w:left="116" w:right="113" w:firstLine="0"/>
        <w:jc w:val="both"/>
        <w:rPr>
          <w:b/>
          <w:sz w:val="18"/>
        </w:rPr>
      </w:pPr>
      <w:r>
        <w:rPr>
          <w:sz w:val="18"/>
        </w:rPr>
        <w:t>Toutes ces études couvrant diverses thématiques et disciplines, portées par de multiples institutions de recherche en France et à l’étranger, en lien avec l’Europe et l’OMS, ont été déployées ou vont l’être dans un court délai – moins de deux mois après la déclaration des premiers cas en Europe. </w:t>
      </w:r>
      <w:r>
        <w:rPr>
          <w:b/>
          <w:sz w:val="18"/>
        </w:rPr>
        <w:t>Elles apporteront des connaissances utiles à la mise en place de la réponse à cette épidémie et aideront à orienter les décisions de santé publique adaptées à chaque population.</w:t>
      </w:r>
    </w:p>
    <w:p>
      <w:pPr>
        <w:spacing w:line="261" w:lineRule="auto" w:before="156"/>
        <w:ind w:left="115" w:right="119" w:firstLine="0"/>
        <w:jc w:val="both"/>
        <w:rPr>
          <w:b/>
          <w:sz w:val="18"/>
        </w:rPr>
      </w:pPr>
      <w:r>
        <w:rPr>
          <w:b/>
          <w:sz w:val="18"/>
        </w:rPr>
        <w:t>En savoir plus sur les projets sélectionnés suite à l’appel à projet « Flash » sur la variole simienne : </w:t>
      </w:r>
      <w:hyperlink r:id="rId12">
        <w:r>
          <w:rPr>
            <w:b/>
            <w:color w:val="0562C1"/>
            <w:sz w:val="18"/>
            <w:u w:val="single" w:color="0562C1"/>
          </w:rPr>
          <w:t>https://www.anrs.fr/fr/actualites/1129/resultats-de-lappel-projets-flash-sur-la-variole-simienne</w:t>
        </w:r>
      </w:hyperlink>
    </w:p>
    <w:p>
      <w:pPr>
        <w:spacing w:before="156"/>
        <w:ind w:left="115" w:right="0" w:firstLine="0"/>
        <w:jc w:val="left"/>
        <w:rPr>
          <w:b/>
          <w:sz w:val="18"/>
        </w:rPr>
      </w:pPr>
      <w:r>
        <w:rPr>
          <w:b/>
          <w:sz w:val="18"/>
        </w:rPr>
        <w:t>Contacts presse :</w:t>
      </w:r>
    </w:p>
    <w:p>
      <w:pPr>
        <w:pStyle w:val="BodyText"/>
        <w:spacing w:line="444" w:lineRule="auto" w:before="172"/>
        <w:ind w:left="115" w:right="4529"/>
      </w:pPr>
      <w:r>
        <w:rPr/>
        <w:t>ANRS | Maladies infectieuses émergentes : </w:t>
      </w:r>
      <w:hyperlink r:id="rId13">
        <w:r>
          <w:rPr>
            <w:color w:val="0562C1"/>
            <w:u w:val="single" w:color="0562C1"/>
          </w:rPr>
          <w:t>information@anrs.fr</w:t>
        </w:r>
      </w:hyperlink>
      <w:r>
        <w:rPr>
          <w:color w:val="0562C1"/>
        </w:rPr>
        <w:t> </w:t>
      </w:r>
      <w:hyperlink r:id="rId14">
        <w:r>
          <w:rPr>
            <w:color w:val="0562C1"/>
            <w:u w:val="single" w:color="0562C1"/>
          </w:rPr>
          <w:t>www.anrs.fr</w:t>
        </w:r>
      </w:hyperlink>
    </w:p>
    <w:p>
      <w:pPr>
        <w:pStyle w:val="BodyText"/>
        <w:spacing w:line="207" w:lineRule="exact"/>
        <w:ind w:left="115"/>
      </w:pPr>
      <w:r>
        <w:rPr/>
        <w:t>Ministère de l’Enseignement supérieur et de la Recherche : </w:t>
      </w:r>
      <w:hyperlink r:id="rId15">
        <w:r>
          <w:rPr>
            <w:color w:val="0562C1"/>
            <w:u w:val="single" w:color="0562C1"/>
          </w:rPr>
          <w:t>presse-mesr@recherche.gouv.fr</w:t>
        </w:r>
      </w:hyperlink>
    </w:p>
    <w:p>
      <w:pPr>
        <w:pStyle w:val="BodyText"/>
        <w:spacing w:before="177"/>
        <w:ind w:left="115"/>
      </w:pPr>
      <w:r>
        <w:rPr/>
        <w:t>Ministère de la Santé et de la Prévention</w:t>
      </w:r>
    </w:p>
    <w:p>
      <w:pPr>
        <w:pStyle w:val="BodyText"/>
        <w:spacing w:before="17"/>
        <w:ind w:left="115"/>
      </w:pPr>
      <w:r>
        <w:rPr/>
        <w:t>Direction générale de la Santé : </w:t>
      </w:r>
      <w:hyperlink r:id="rId16">
        <w:r>
          <w:rPr>
            <w:color w:val="0562C1"/>
            <w:u w:val="single" w:color="0562C1"/>
          </w:rPr>
          <w:t>Presse-dgs@sante.gouv.fr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70.800003pt;margin-top:19.454569pt;width:144pt;height:.1pt;mso-position-horizontal-relative:page;mso-position-vertical-relative:paragraph;z-index:-251658240;mso-wrap-distance-left:0;mso-wrap-distance-right:0" coordorigin="1416,389" coordsize="2880,0" path="m1416,389l4296,389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69"/>
        <w:ind w:left="116" w:right="202" w:hanging="1"/>
        <w:jc w:val="left"/>
        <w:rPr>
          <w:rFonts w:ascii="Calibri" w:hAnsi="Calibri"/>
          <w:sz w:val="20"/>
        </w:rPr>
      </w:pPr>
      <w:bookmarkStart w:name="_bookmark0" w:id="1"/>
      <w:bookmarkEnd w:id="1"/>
      <w:r>
        <w:rPr/>
      </w:r>
      <w:r>
        <w:rPr>
          <w:rFonts w:ascii="Calibri" w:hAnsi="Calibri"/>
          <w:position w:val="7"/>
          <w:sz w:val="13"/>
        </w:rPr>
        <w:t>1 </w:t>
      </w:r>
      <w:r>
        <w:rPr>
          <w:rFonts w:ascii="Calibri" w:hAnsi="Calibri"/>
          <w:sz w:val="20"/>
        </w:rPr>
        <w:t>Essai clinique de prévention combinée des infections sexuellement transmissibles (IST) chez les hommes ayant des rapports sexuels avec des hommes et sous prophylaxie pré-exposition au VIH (PrEP).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5" w:hanging="360"/>
      </w:pPr>
      <w:rPr>
        <w:rFonts w:hint="default" w:ascii="Symbol" w:hAnsi="Symbol" w:eastAsia="Symbol" w:cs="Symbol"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56"/>
      <w:ind w:left="115"/>
      <w:jc w:val="both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835" w:right="113" w:hanging="360"/>
      <w:jc w:val="both"/>
    </w:pPr>
    <w:rPr>
      <w:rFonts w:ascii="Times New Roman" w:hAnsi="Times New Roman" w:eastAsia="Times New Roman" w:cs="Times New Roman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anrs.fr/fr/actualites/1079/veille-scientifique-sur-la-variole-du-singe" TargetMode="External"/><Relationship Id="rId8" Type="http://schemas.openxmlformats.org/officeDocument/2006/relationships/hyperlink" Target="https://www.anrs.fr/fr/presse/communiques-de-presse/1120/lancement-dune-etude-scientifique-internationale-sur-la-variole" TargetMode="External"/><Relationship Id="rId9" Type="http://schemas.openxmlformats.org/officeDocument/2006/relationships/hyperlink" Target="https://www.has-sante.fr/jcms/p_3351308/fr/avis-n2022-0039/ac/sespev-du-7-juillet-2022-du-college-de-la-haute-autorite-de-sante-relatif-a-la-vaccination-contre-le-virus-monkeypox-en-preexposition-des-personnes-a-haut-risque-d-exposition" TargetMode="External"/><Relationship Id="rId10" Type="http://schemas.openxmlformats.org/officeDocument/2006/relationships/hyperlink" Target="https://www.erinha.eu/" TargetMode="External"/><Relationship Id="rId11" Type="http://schemas.openxmlformats.org/officeDocument/2006/relationships/hyperlink" Target="https://www.anrs.fr/fr/actualites/1105/un-appel-projets-de-recherche-flash-sur-la-variole-simienne" TargetMode="External"/><Relationship Id="rId12" Type="http://schemas.openxmlformats.org/officeDocument/2006/relationships/hyperlink" Target="https://www.anrs.fr/fr/actualites/1129/resultats-de-lappel-projets-flash-sur-la-variole-simienne" TargetMode="External"/><Relationship Id="rId13" Type="http://schemas.openxmlformats.org/officeDocument/2006/relationships/hyperlink" Target="mailto:information@anrs.fr" TargetMode="External"/><Relationship Id="rId14" Type="http://schemas.openxmlformats.org/officeDocument/2006/relationships/hyperlink" Target="http://www.anrs.fr/" TargetMode="External"/><Relationship Id="rId15" Type="http://schemas.openxmlformats.org/officeDocument/2006/relationships/hyperlink" Target="mailto:presse-mesr@recherche.gouv.fr" TargetMode="External"/><Relationship Id="rId16" Type="http://schemas.openxmlformats.org/officeDocument/2006/relationships/hyperlink" Target="mailto:Presse-dgs@sante.gouv.fr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PULIK</dc:creator>
  <dcterms:created xsi:type="dcterms:W3CDTF">2022-08-01T14:43:59Z</dcterms:created>
  <dcterms:modified xsi:type="dcterms:W3CDTF">2022-08-01T14:43:59Z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2022-08-01T00:00:00Z</vt:filetime>
  </property>
</Properties>
</file>