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E28C9" w14:textId="03A13C23" w:rsidR="00A71A06" w:rsidRDefault="00D40E79" w:rsidP="004154AF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02453E0" wp14:editId="6C220F2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7345" cy="914400"/>
            <wp:effectExtent l="0" t="0" r="1905" b="0"/>
            <wp:wrapSquare wrapText="bothSides"/>
            <wp:docPr id="3" name="Image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4A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4E2273" wp14:editId="7AA46D27">
            <wp:simplePos x="5543550" y="895350"/>
            <wp:positionH relativeFrom="margin">
              <wp:align>left</wp:align>
            </wp:positionH>
            <wp:positionV relativeFrom="margin">
              <wp:align>top</wp:align>
            </wp:positionV>
            <wp:extent cx="1571625" cy="1220470"/>
            <wp:effectExtent l="0" t="0" r="952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EF6462" w14:textId="2E32C02C" w:rsidR="00A71A06" w:rsidRDefault="004154AF" w:rsidP="004154AF">
      <w:pPr>
        <w:tabs>
          <w:tab w:val="left" w:pos="1830"/>
        </w:tabs>
        <w:jc w:val="right"/>
      </w:pPr>
      <w:r>
        <w:tab/>
      </w:r>
    </w:p>
    <w:p w14:paraId="65EAFABC" w14:textId="77777777" w:rsidR="00A71A06" w:rsidRDefault="00A71A06"/>
    <w:p w14:paraId="022EED0B" w14:textId="77777777" w:rsidR="00D40E79" w:rsidRDefault="00D40E79" w:rsidP="004154AF">
      <w:pPr>
        <w:jc w:val="right"/>
        <w:rPr>
          <w:b/>
          <w:color w:val="0070C0"/>
        </w:rPr>
      </w:pPr>
    </w:p>
    <w:p w14:paraId="40CC4D14" w14:textId="77777777" w:rsidR="00D40E79" w:rsidRDefault="00D40E79" w:rsidP="004154AF">
      <w:pPr>
        <w:jc w:val="right"/>
        <w:rPr>
          <w:b/>
          <w:color w:val="0070C0"/>
        </w:rPr>
      </w:pPr>
    </w:p>
    <w:p w14:paraId="02A1F729" w14:textId="473AD69D" w:rsidR="00A71A06" w:rsidRDefault="00A71A06" w:rsidP="002A1E16">
      <w:pPr>
        <w:jc w:val="center"/>
      </w:pPr>
      <w:r>
        <w:rPr>
          <w:b/>
          <w:color w:val="0070C0"/>
        </w:rPr>
        <w:br/>
      </w:r>
      <w:r w:rsidR="00D40E79">
        <w:t>Communiqué de presse</w:t>
      </w:r>
    </w:p>
    <w:p w14:paraId="37482984" w14:textId="2225DABE" w:rsidR="00D40E79" w:rsidRDefault="000D2AC3" w:rsidP="00D40E79">
      <w:pPr>
        <w:jc w:val="right"/>
      </w:pPr>
      <w:r>
        <w:t>Paris, le 18</w:t>
      </w:r>
      <w:r w:rsidR="00D40E79">
        <w:t xml:space="preserve"> mai 2021</w:t>
      </w:r>
    </w:p>
    <w:p w14:paraId="1A9392D9" w14:textId="719D4591" w:rsidR="00E179CC" w:rsidRPr="006009AC" w:rsidRDefault="006A5B9E" w:rsidP="00C02CE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Semaine européenne de la vaccination</w:t>
      </w:r>
      <w:r w:rsidR="002A1E16">
        <w:rPr>
          <w:b/>
          <w:color w:val="0070C0"/>
          <w:sz w:val="28"/>
          <w:szCs w:val="28"/>
        </w:rPr>
        <w:t xml:space="preserve"> du 17 au 21 mai 2021</w:t>
      </w:r>
      <w:r>
        <w:rPr>
          <w:b/>
          <w:color w:val="0070C0"/>
          <w:sz w:val="28"/>
          <w:szCs w:val="28"/>
        </w:rPr>
        <w:t xml:space="preserve"> : </w:t>
      </w:r>
      <w:r>
        <w:rPr>
          <w:b/>
          <w:color w:val="0070C0"/>
          <w:sz w:val="28"/>
          <w:szCs w:val="28"/>
        </w:rPr>
        <w:br/>
        <w:t xml:space="preserve">Une </w:t>
      </w:r>
      <w:r w:rsidR="006009AC">
        <w:rPr>
          <w:b/>
          <w:color w:val="0070C0"/>
          <w:sz w:val="28"/>
          <w:szCs w:val="28"/>
        </w:rPr>
        <w:t xml:space="preserve">forte </w:t>
      </w:r>
      <w:r>
        <w:rPr>
          <w:b/>
          <w:color w:val="0070C0"/>
          <w:sz w:val="28"/>
          <w:szCs w:val="28"/>
        </w:rPr>
        <w:t xml:space="preserve">adhésion des français </w:t>
      </w:r>
      <w:r w:rsidR="002A1E16">
        <w:rPr>
          <w:b/>
          <w:color w:val="0070C0"/>
          <w:sz w:val="28"/>
          <w:szCs w:val="28"/>
        </w:rPr>
        <w:t xml:space="preserve">à la vaccination, </w:t>
      </w:r>
      <w:r w:rsidR="002A1E16" w:rsidRPr="002A1E16">
        <w:rPr>
          <w:b/>
          <w:color w:val="0070C0"/>
          <w:sz w:val="28"/>
          <w:szCs w:val="28"/>
        </w:rPr>
        <w:t>enjeu majeur de santé publique</w:t>
      </w:r>
    </w:p>
    <w:p w14:paraId="722E908B" w14:textId="55954A9E" w:rsidR="002A1E16" w:rsidRPr="006659C5" w:rsidRDefault="00415F74" w:rsidP="006659C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Le ministère des Solidarités et de la Santé</w:t>
      </w:r>
      <w:r w:rsidR="00C1631E" w:rsidRPr="006659C5">
        <w:rPr>
          <w:rFonts w:asciiTheme="minorHAnsi" w:hAnsiTheme="minorHAnsi" w:cstheme="minorBidi"/>
          <w:b/>
        </w:rPr>
        <w:t xml:space="preserve"> lance la semaine européenne de la vaccination</w:t>
      </w:r>
      <w:r w:rsidR="002A1E16" w:rsidRPr="002A1E16">
        <w:rPr>
          <w:rFonts w:asciiTheme="minorHAnsi" w:hAnsiTheme="minorHAnsi" w:cstheme="minorBidi"/>
          <w:b/>
        </w:rPr>
        <w:t xml:space="preserve"> (SEV)</w:t>
      </w:r>
      <w:r w:rsidR="00C1631E" w:rsidRPr="002A1E16">
        <w:rPr>
          <w:rFonts w:asciiTheme="minorHAnsi" w:hAnsiTheme="minorHAnsi" w:cstheme="minorBidi"/>
          <w:b/>
        </w:rPr>
        <w:t xml:space="preserve">, </w:t>
      </w:r>
      <w:r w:rsidR="002A1E16" w:rsidRPr="002A1E16">
        <w:rPr>
          <w:rFonts w:asciiTheme="minorHAnsi" w:hAnsiTheme="minorHAnsi" w:cstheme="minorBidi"/>
          <w:b/>
        </w:rPr>
        <w:t>qui se déroulera du 17 au 21 mai 2021</w:t>
      </w:r>
      <w:r w:rsidR="002A1E16">
        <w:rPr>
          <w:rFonts w:asciiTheme="minorHAnsi" w:hAnsiTheme="minorHAnsi" w:cstheme="minorBidi"/>
          <w:b/>
        </w:rPr>
        <w:t xml:space="preserve"> avec le slogan </w:t>
      </w:r>
      <w:r w:rsidR="002A1E16" w:rsidRPr="006659C5">
        <w:rPr>
          <w:rFonts w:asciiTheme="minorHAnsi" w:hAnsiTheme="minorHAnsi" w:cstheme="minorBidi"/>
          <w:b/>
        </w:rPr>
        <w:t xml:space="preserve">: « </w:t>
      </w:r>
      <w:r w:rsidR="002A1E16" w:rsidRPr="006659C5">
        <w:rPr>
          <w:rFonts w:asciiTheme="minorHAnsi" w:hAnsiTheme="minorHAnsi" w:cstheme="minorBidi"/>
          <w:b/>
          <w:i/>
        </w:rPr>
        <w:t>Prévenir, protéger, vacciner</w:t>
      </w:r>
      <w:r w:rsidR="002A1E16" w:rsidRPr="002A1E16">
        <w:rPr>
          <w:rFonts w:asciiTheme="minorHAnsi" w:hAnsiTheme="minorHAnsi" w:cstheme="minorBidi"/>
          <w:b/>
        </w:rPr>
        <w:t xml:space="preserve"> ». La</w:t>
      </w:r>
      <w:r w:rsidR="002A1E16" w:rsidRPr="002A1E16">
        <w:rPr>
          <w:rFonts w:asciiTheme="minorHAnsi" w:hAnsiTheme="minorHAnsi" w:cstheme="minorBidi"/>
          <w:b/>
          <w:bCs/>
        </w:rPr>
        <w:t xml:space="preserve"> Semaine Européenne de la Vaccination</w:t>
      </w:r>
      <w:r w:rsidR="002A1E16" w:rsidRPr="002A1E16">
        <w:rPr>
          <w:rFonts w:asciiTheme="minorHAnsi" w:hAnsiTheme="minorHAnsi" w:cstheme="minorBidi"/>
          <w:b/>
        </w:rPr>
        <w:t> (SEV) est un moment fort de l'année pour promouvoir la vaccination. Cet événement est coordonné au niveau national par </w:t>
      </w:r>
      <w:r w:rsidR="002A1E16" w:rsidRPr="006659C5">
        <w:rPr>
          <w:rFonts w:asciiTheme="minorHAnsi" w:hAnsiTheme="minorHAnsi" w:cstheme="minorBidi"/>
          <w:b/>
          <w:bCs/>
        </w:rPr>
        <w:t>le Ministère des Solidarités et de la Santé</w:t>
      </w:r>
      <w:r w:rsidR="002A1E16" w:rsidRPr="006659C5">
        <w:rPr>
          <w:rFonts w:asciiTheme="minorHAnsi" w:hAnsiTheme="minorHAnsi" w:cstheme="minorBidi"/>
          <w:b/>
        </w:rPr>
        <w:t> et </w:t>
      </w:r>
      <w:r w:rsidR="002A1E16" w:rsidRPr="006659C5">
        <w:rPr>
          <w:rFonts w:asciiTheme="minorHAnsi" w:hAnsiTheme="minorHAnsi" w:cstheme="minorBidi"/>
          <w:b/>
          <w:bCs/>
        </w:rPr>
        <w:t>Santé publique France</w:t>
      </w:r>
      <w:r w:rsidR="002A1E16" w:rsidRPr="006659C5">
        <w:rPr>
          <w:rFonts w:asciiTheme="minorHAnsi" w:hAnsiTheme="minorHAnsi" w:cstheme="minorBidi"/>
          <w:b/>
        </w:rPr>
        <w:t> et piloté en région par</w:t>
      </w:r>
      <w:r w:rsidR="002A1E16" w:rsidRPr="006659C5">
        <w:rPr>
          <w:rFonts w:asciiTheme="minorHAnsi" w:hAnsiTheme="minorHAnsi" w:cstheme="minorBidi"/>
          <w:b/>
          <w:bCs/>
        </w:rPr>
        <w:t> les Agences Régionales de Santé (ARS)</w:t>
      </w:r>
      <w:r w:rsidR="002A1E16">
        <w:rPr>
          <w:rFonts w:asciiTheme="minorHAnsi" w:hAnsiTheme="minorHAnsi" w:cstheme="minorBidi"/>
          <w:b/>
        </w:rPr>
        <w:t>.</w:t>
      </w:r>
    </w:p>
    <w:p w14:paraId="2A755618" w14:textId="66D0957B" w:rsidR="006A5B9E" w:rsidRPr="00A22911" w:rsidRDefault="00C1631E" w:rsidP="00C66796">
      <w:pPr>
        <w:spacing w:after="0"/>
        <w:jc w:val="both"/>
        <w:rPr>
          <w:rFonts w:ascii="Calibri" w:hAnsi="Calibri" w:cs="Calibri"/>
          <w:spacing w:val="-6"/>
          <w:w w:val="105"/>
        </w:rPr>
      </w:pPr>
      <w:r w:rsidRPr="00A22911">
        <w:rPr>
          <w:rFonts w:ascii="Calibri" w:hAnsi="Calibri" w:cs="Calibri"/>
          <w:spacing w:val="-6"/>
          <w:w w:val="105"/>
        </w:rPr>
        <w:t>A cette occasion</w:t>
      </w:r>
      <w:r w:rsidR="00E83E43" w:rsidRPr="00A22911">
        <w:rPr>
          <w:rFonts w:ascii="Calibri" w:hAnsi="Calibri" w:cs="Calibri"/>
          <w:spacing w:val="-6"/>
          <w:w w:val="105"/>
        </w:rPr>
        <w:t>,</w:t>
      </w:r>
      <w:r w:rsidR="006A5B9E" w:rsidRPr="00A22911">
        <w:rPr>
          <w:rFonts w:ascii="Calibri" w:hAnsi="Calibri" w:cs="Calibri"/>
          <w:spacing w:val="-6"/>
          <w:w w:val="105"/>
        </w:rPr>
        <w:t xml:space="preserve"> Santé publique France publie dans son Bulletin de santé publique (BSP), les données relatives aux couvertures vaccinales ainsi que les données du Baromètre santé</w:t>
      </w:r>
      <w:r w:rsidR="005D3685" w:rsidRPr="00A22911">
        <w:rPr>
          <w:rFonts w:ascii="Calibri" w:hAnsi="Calibri" w:cs="Calibri"/>
          <w:spacing w:val="-6"/>
          <w:w w:val="105"/>
        </w:rPr>
        <w:t xml:space="preserve"> 2020 relatif à l’adhésion vaccinale. </w:t>
      </w:r>
      <w:r w:rsidR="00E83E43" w:rsidRPr="000D1F7D">
        <w:rPr>
          <w:rFonts w:ascii="Calibri" w:hAnsi="Calibri" w:cs="Calibri"/>
          <w:spacing w:val="-6"/>
          <w:w w:val="105"/>
        </w:rPr>
        <w:t>La crise</w:t>
      </w:r>
      <w:r w:rsidR="001D5963" w:rsidRPr="000D1F7D">
        <w:rPr>
          <w:rFonts w:ascii="Calibri" w:hAnsi="Calibri" w:cs="Calibri"/>
          <w:spacing w:val="-6"/>
          <w:w w:val="105"/>
        </w:rPr>
        <w:t xml:space="preserve"> sanitaire exceptionnel</w:t>
      </w:r>
      <w:r w:rsidR="00E83E43" w:rsidRPr="000D1F7D">
        <w:rPr>
          <w:rFonts w:ascii="Calibri" w:hAnsi="Calibri" w:cs="Calibri"/>
          <w:spacing w:val="-6"/>
          <w:w w:val="105"/>
        </w:rPr>
        <w:t>le</w:t>
      </w:r>
      <w:r w:rsidR="006A5B9E" w:rsidRPr="000D1F7D">
        <w:rPr>
          <w:rFonts w:ascii="Calibri" w:hAnsi="Calibri" w:cs="Calibri"/>
          <w:spacing w:val="-6"/>
          <w:w w:val="105"/>
        </w:rPr>
        <w:t xml:space="preserve"> lié</w:t>
      </w:r>
      <w:r w:rsidR="00E83E43" w:rsidRPr="000D1F7D">
        <w:rPr>
          <w:rFonts w:ascii="Calibri" w:hAnsi="Calibri" w:cs="Calibri"/>
          <w:spacing w:val="-6"/>
          <w:w w:val="105"/>
        </w:rPr>
        <w:t>e</w:t>
      </w:r>
      <w:r w:rsidR="006A5B9E" w:rsidRPr="000D1F7D">
        <w:rPr>
          <w:rFonts w:ascii="Calibri" w:hAnsi="Calibri" w:cs="Calibri"/>
          <w:spacing w:val="-6"/>
          <w:w w:val="105"/>
        </w:rPr>
        <w:t xml:space="preserve"> à </w:t>
      </w:r>
      <w:r w:rsidR="005D3685" w:rsidRPr="000D1F7D">
        <w:rPr>
          <w:rFonts w:ascii="Calibri" w:hAnsi="Calibri" w:cs="Calibri"/>
          <w:spacing w:val="-6"/>
          <w:w w:val="105"/>
        </w:rPr>
        <w:t>l’épidémie</w:t>
      </w:r>
      <w:r w:rsidR="006A5B9E" w:rsidRPr="000D1F7D">
        <w:rPr>
          <w:rFonts w:ascii="Calibri" w:hAnsi="Calibri" w:cs="Calibri"/>
          <w:spacing w:val="-6"/>
          <w:w w:val="105"/>
        </w:rPr>
        <w:t xml:space="preserve"> de COVID-19, </w:t>
      </w:r>
      <w:r w:rsidR="00E83E43" w:rsidRPr="000D1F7D">
        <w:rPr>
          <w:rFonts w:ascii="Calibri" w:hAnsi="Calibri" w:cs="Calibri"/>
          <w:spacing w:val="-6"/>
          <w:w w:val="105"/>
        </w:rPr>
        <w:t>ne doit pas faire oublier l’importance des autres vaccinations pour préserver la santé de tous. L</w:t>
      </w:r>
      <w:r w:rsidR="006A5B9E" w:rsidRPr="000D1F7D">
        <w:rPr>
          <w:rFonts w:ascii="Calibri" w:hAnsi="Calibri" w:cs="Calibri"/>
          <w:spacing w:val="-6"/>
          <w:w w:val="105"/>
        </w:rPr>
        <w:t>a vaccination</w:t>
      </w:r>
      <w:r w:rsidR="006A5B9E" w:rsidRPr="00A22911">
        <w:rPr>
          <w:rFonts w:ascii="Calibri" w:hAnsi="Calibri" w:cs="Calibri"/>
          <w:spacing w:val="-6"/>
          <w:w w:val="105"/>
        </w:rPr>
        <w:t xml:space="preserve"> représente un enjeu majeur de santé publique et demeure le moyen de prévention le plus efficace pour se protéger contre certaines infections graves.</w:t>
      </w:r>
    </w:p>
    <w:p w14:paraId="7274973B" w14:textId="77777777" w:rsidR="006A5B9E" w:rsidRDefault="006A5B9E" w:rsidP="00C66796">
      <w:pPr>
        <w:spacing w:after="0"/>
        <w:jc w:val="both"/>
        <w:rPr>
          <w:rFonts w:ascii="Calibri" w:hAnsi="Calibri" w:cs="Calibri"/>
          <w:b/>
          <w:spacing w:val="-6"/>
          <w:w w:val="105"/>
        </w:rPr>
      </w:pPr>
    </w:p>
    <w:p w14:paraId="4685F11B" w14:textId="77777777" w:rsidR="001D5963" w:rsidRPr="006A5B9E" w:rsidRDefault="001D5963" w:rsidP="001D5963">
      <w:pPr>
        <w:spacing w:after="0"/>
        <w:jc w:val="both"/>
        <w:rPr>
          <w:rFonts w:ascii="Calibri" w:hAnsi="Calibri" w:cs="Calibri"/>
          <w:spacing w:val="-4"/>
          <w:w w:val="105"/>
        </w:rPr>
      </w:pPr>
      <w:r w:rsidRPr="006A5B9E">
        <w:rPr>
          <w:rFonts w:ascii="Calibri" w:hAnsi="Calibri" w:cs="Calibri"/>
          <w:spacing w:val="-6"/>
          <w:w w:val="105"/>
        </w:rPr>
        <w:t xml:space="preserve">En 2020, </w:t>
      </w:r>
      <w:r>
        <w:rPr>
          <w:rFonts w:ascii="Calibri" w:hAnsi="Calibri" w:cs="Calibri"/>
          <w:bCs/>
          <w:spacing w:val="-6"/>
          <w:w w:val="105"/>
        </w:rPr>
        <w:t>80</w:t>
      </w:r>
      <w:r w:rsidRPr="006A5B9E">
        <w:rPr>
          <w:rFonts w:ascii="Calibri" w:hAnsi="Calibri" w:cs="Calibri"/>
          <w:bCs/>
          <w:spacing w:val="-6"/>
          <w:w w:val="105"/>
        </w:rPr>
        <w:t>% des personnes interrogées déclarent être favorables à la vaccination en général</w:t>
      </w:r>
      <w:r w:rsidRPr="006A5B9E">
        <w:rPr>
          <w:rFonts w:ascii="Calibri" w:hAnsi="Calibri" w:cs="Calibri"/>
          <w:spacing w:val="-6"/>
          <w:w w:val="105"/>
        </w:rPr>
        <w:t xml:space="preserve">, résultat significativement plus élevé que ceux obtenus les années précédentes (73,9% en 2019 notamment). Les avis « très favorables » sont partagés par plus d’un tiers des répondants, ce qui n’avait jamais été observé depuis le début des années 2000. </w:t>
      </w:r>
    </w:p>
    <w:p w14:paraId="1B7F81EF" w14:textId="1D51670D" w:rsidR="004A1010" w:rsidRDefault="004A1010" w:rsidP="004A1010">
      <w:pPr>
        <w:spacing w:after="0" w:line="240" w:lineRule="auto"/>
      </w:pPr>
    </w:p>
    <w:p w14:paraId="56EB0D3A" w14:textId="77777777" w:rsidR="002817DB" w:rsidRDefault="002817DB" w:rsidP="004A1010">
      <w:pPr>
        <w:spacing w:after="0" w:line="240" w:lineRule="auto"/>
      </w:pPr>
    </w:p>
    <w:p w14:paraId="58DE1235" w14:textId="66E4A791" w:rsidR="005D3685" w:rsidRPr="00191E18" w:rsidRDefault="00350B01" w:rsidP="00191E18">
      <w:pPr>
        <w:spacing w:after="0"/>
        <w:rPr>
          <w:rFonts w:ascii="Calibri" w:hAnsi="Calibri" w:cs="Calibri"/>
          <w:spacing w:val="-6"/>
          <w:w w:val="105"/>
        </w:rPr>
      </w:pPr>
      <w:r w:rsidRPr="000D1F7D">
        <w:rPr>
          <w:rFonts w:ascii="Calibri" w:hAnsi="Calibri" w:cs="Calibri"/>
          <w:b/>
          <w:bCs/>
          <w:color w:val="0070C0"/>
          <w:spacing w:val="-4"/>
          <w:w w:val="105"/>
          <w:sz w:val="24"/>
        </w:rPr>
        <w:t xml:space="preserve">Des couvertures </w:t>
      </w:r>
      <w:r w:rsidR="006A5B9E" w:rsidRPr="000D1F7D">
        <w:rPr>
          <w:rFonts w:ascii="Calibri" w:hAnsi="Calibri" w:cs="Calibri"/>
          <w:b/>
          <w:bCs/>
          <w:color w:val="0070C0"/>
          <w:spacing w:val="-4"/>
          <w:w w:val="105"/>
          <w:sz w:val="24"/>
        </w:rPr>
        <w:t>vaccinales </w:t>
      </w:r>
      <w:r w:rsidRPr="000D1F7D">
        <w:rPr>
          <w:rFonts w:ascii="Calibri" w:hAnsi="Calibri" w:cs="Calibri"/>
          <w:b/>
          <w:bCs/>
          <w:color w:val="0070C0"/>
          <w:spacing w:val="-4"/>
          <w:w w:val="105"/>
          <w:sz w:val="24"/>
        </w:rPr>
        <w:t>en augmentation</w:t>
      </w:r>
      <w:r w:rsidR="00CA504A" w:rsidRPr="000D1F7D">
        <w:rPr>
          <w:rFonts w:ascii="Calibri" w:hAnsi="Calibri" w:cs="Calibri"/>
          <w:spacing w:val="-6"/>
          <w:w w:val="105"/>
          <w:sz w:val="24"/>
        </w:rPr>
        <w:br/>
      </w:r>
      <w:r w:rsidR="005D3685">
        <w:rPr>
          <w:rFonts w:ascii="Calibri" w:hAnsi="Calibri" w:cs="Calibri"/>
          <w:spacing w:val="-6"/>
          <w:w w:val="105"/>
        </w:rPr>
        <w:t>La nécessité d’enrayer l</w:t>
      </w:r>
      <w:r w:rsidR="005D3685" w:rsidRPr="005D3685">
        <w:rPr>
          <w:rFonts w:ascii="Calibri" w:hAnsi="Calibri" w:cs="Calibri"/>
          <w:spacing w:val="-6"/>
          <w:w w:val="105"/>
        </w:rPr>
        <w:t xml:space="preserve">es maladies infectieuses a incité les pouvoirs publics à faire de l’amélioration </w:t>
      </w:r>
      <w:r w:rsidR="00857724">
        <w:rPr>
          <w:rFonts w:ascii="Calibri" w:hAnsi="Calibri" w:cs="Calibri"/>
          <w:spacing w:val="-6"/>
          <w:w w:val="105"/>
        </w:rPr>
        <w:t>des couvertures</w:t>
      </w:r>
      <w:r w:rsidR="00191E18">
        <w:rPr>
          <w:rFonts w:ascii="Calibri" w:hAnsi="Calibri" w:cs="Calibri"/>
          <w:spacing w:val="-6"/>
          <w:w w:val="105"/>
        </w:rPr>
        <w:t xml:space="preserve"> </w:t>
      </w:r>
      <w:r w:rsidR="005D3685" w:rsidRPr="005D3685">
        <w:rPr>
          <w:rFonts w:ascii="Calibri" w:hAnsi="Calibri" w:cs="Calibri"/>
          <w:spacing w:val="-6"/>
          <w:w w:val="105"/>
        </w:rPr>
        <w:t>vaccinale</w:t>
      </w:r>
      <w:r w:rsidR="00C97A4E">
        <w:rPr>
          <w:rFonts w:ascii="Calibri" w:hAnsi="Calibri" w:cs="Calibri"/>
          <w:spacing w:val="-6"/>
          <w:w w:val="105"/>
        </w:rPr>
        <w:t>s</w:t>
      </w:r>
      <w:r w:rsidR="005D3685" w:rsidRPr="005D3685">
        <w:rPr>
          <w:rFonts w:ascii="Calibri" w:hAnsi="Calibri" w:cs="Calibri"/>
          <w:spacing w:val="-6"/>
          <w:w w:val="105"/>
        </w:rPr>
        <w:t xml:space="preserve"> une priorité de santé publique et </w:t>
      </w:r>
      <w:r w:rsidR="004031CC">
        <w:rPr>
          <w:rFonts w:ascii="Calibri" w:hAnsi="Calibri" w:cs="Calibri"/>
          <w:spacing w:val="-6"/>
          <w:w w:val="105"/>
        </w:rPr>
        <w:t xml:space="preserve">à </w:t>
      </w:r>
      <w:r w:rsidR="005D3685" w:rsidRPr="005D3685">
        <w:rPr>
          <w:rFonts w:ascii="Calibri" w:hAnsi="Calibri" w:cs="Calibri"/>
          <w:spacing w:val="-6"/>
          <w:w w:val="105"/>
        </w:rPr>
        <w:t xml:space="preserve">étendre l’obligation vaccinale chez les enfants de moins de 2 ans. </w:t>
      </w:r>
      <w:r w:rsidR="005D3685" w:rsidRPr="005D3685">
        <w:rPr>
          <w:rFonts w:ascii="Calibri" w:hAnsi="Calibri" w:cs="Calibri"/>
          <w:b/>
          <w:spacing w:val="-6"/>
          <w:w w:val="105"/>
        </w:rPr>
        <w:t>Un peu plus de trois ans après l’extension de l’obligation vaccinale, Santé publique France publie une mise à jour des indicateurs d’impact de cette extension.</w:t>
      </w:r>
      <w:r w:rsidR="005D3685" w:rsidRPr="005D3685">
        <w:rPr>
          <w:rFonts w:ascii="Calibri" w:hAnsi="Calibri" w:cs="Calibri"/>
          <w:spacing w:val="-6"/>
          <w:w w:val="105"/>
        </w:rPr>
        <w:t xml:space="preserve"> </w:t>
      </w:r>
    </w:p>
    <w:p w14:paraId="5A6D517F" w14:textId="3FBA83E2" w:rsidR="005D3685" w:rsidRPr="005D3685" w:rsidRDefault="005D3685" w:rsidP="004154AF">
      <w:pPr>
        <w:rPr>
          <w:rFonts w:ascii="Calibri" w:hAnsi="Calibri" w:cs="Calibri"/>
          <w:spacing w:val="-6"/>
          <w:w w:val="105"/>
        </w:rPr>
      </w:pPr>
      <w:r w:rsidRPr="005D3685">
        <w:rPr>
          <w:rFonts w:ascii="Calibri" w:hAnsi="Calibri" w:cs="Calibri"/>
          <w:spacing w:val="-6"/>
          <w:w w:val="105"/>
        </w:rPr>
        <w:t xml:space="preserve">L’augmentation du recours à la vaccination chez les nourrissons pour lesquels s’applique l’extension de l’obligation vaccinale </w:t>
      </w:r>
      <w:r>
        <w:rPr>
          <w:rFonts w:ascii="Calibri" w:hAnsi="Calibri" w:cs="Calibri"/>
          <w:spacing w:val="-6"/>
          <w:w w:val="105"/>
        </w:rPr>
        <w:t>se poursuit :</w:t>
      </w:r>
    </w:p>
    <w:p w14:paraId="2EDC5199" w14:textId="36765D2D" w:rsidR="00D12EEE" w:rsidRPr="005D3685" w:rsidRDefault="00094410" w:rsidP="00350B01">
      <w:pPr>
        <w:numPr>
          <w:ilvl w:val="1"/>
          <w:numId w:val="4"/>
        </w:numPr>
        <w:spacing w:after="0"/>
        <w:jc w:val="both"/>
        <w:rPr>
          <w:rFonts w:ascii="Calibri" w:hAnsi="Calibri" w:cs="Calibri"/>
          <w:spacing w:val="-6"/>
          <w:w w:val="105"/>
        </w:rPr>
      </w:pPr>
      <w:r>
        <w:rPr>
          <w:rFonts w:ascii="Calibri" w:hAnsi="Calibri" w:cs="Calibri"/>
          <w:b/>
          <w:spacing w:val="-6"/>
          <w:w w:val="105"/>
        </w:rPr>
        <w:t xml:space="preserve">La couverture vaccinale du vaccin hexavalent 3 doses </w:t>
      </w:r>
      <w:r>
        <w:rPr>
          <w:rFonts w:ascii="Calibri" w:hAnsi="Calibri" w:cs="Calibri"/>
          <w:spacing w:val="-6"/>
          <w:w w:val="105"/>
        </w:rPr>
        <w:t>(</w:t>
      </w:r>
      <w:r w:rsidRPr="00350B01">
        <w:rPr>
          <w:rFonts w:ascii="Calibri" w:hAnsi="Calibri" w:cs="Calibri"/>
          <w:spacing w:val="-6"/>
          <w:w w:val="105"/>
        </w:rPr>
        <w:t xml:space="preserve">DTP, Coqueluche, </w:t>
      </w:r>
      <w:r w:rsidRPr="00350B01">
        <w:rPr>
          <w:rFonts w:ascii="Calibri" w:hAnsi="Calibri" w:cs="Calibri"/>
          <w:i/>
          <w:spacing w:val="-6"/>
          <w:w w:val="105"/>
        </w:rPr>
        <w:t>Haemophilus influenzae b (Hib</w:t>
      </w:r>
      <w:r w:rsidRPr="00350B01">
        <w:rPr>
          <w:rFonts w:ascii="Calibri" w:hAnsi="Calibri" w:cs="Calibri"/>
          <w:spacing w:val="-6"/>
          <w:w w:val="105"/>
        </w:rPr>
        <w:t>) et Hépatite B</w:t>
      </w:r>
      <w:r>
        <w:rPr>
          <w:rFonts w:ascii="Calibri" w:hAnsi="Calibri" w:cs="Calibri"/>
          <w:spacing w:val="-6"/>
          <w:w w:val="105"/>
        </w:rPr>
        <w:t xml:space="preserve">) a augmenté de </w:t>
      </w:r>
      <w:r w:rsidR="004031CC">
        <w:rPr>
          <w:rFonts w:ascii="Calibri" w:hAnsi="Calibri" w:cs="Calibri"/>
          <w:spacing w:val="-6"/>
          <w:w w:val="105"/>
        </w:rPr>
        <w:t>+</w:t>
      </w:r>
      <w:r w:rsidR="005C04E5" w:rsidRPr="005D3685">
        <w:rPr>
          <w:rFonts w:ascii="Calibri" w:hAnsi="Calibri" w:cs="Calibri"/>
          <w:b/>
          <w:spacing w:val="-6"/>
          <w:w w:val="105"/>
        </w:rPr>
        <w:t xml:space="preserve"> 6,4 points</w:t>
      </w:r>
      <w:r w:rsidR="005C04E5" w:rsidRPr="005D3685">
        <w:rPr>
          <w:rFonts w:ascii="Calibri" w:hAnsi="Calibri" w:cs="Calibri"/>
          <w:spacing w:val="-6"/>
          <w:w w:val="105"/>
        </w:rPr>
        <w:t xml:space="preserve"> </w:t>
      </w:r>
      <w:r>
        <w:rPr>
          <w:rFonts w:ascii="Calibri" w:hAnsi="Calibri" w:cs="Calibri"/>
          <w:spacing w:val="-6"/>
          <w:w w:val="105"/>
        </w:rPr>
        <w:t>chez les enfants âgés de 21 mois et nés au premier trimestre 2019 (90.5%) par rapport à celle estimée chez les enfants, au même âge, nés au premier trimestre 2017 (84.1%)</w:t>
      </w:r>
    </w:p>
    <w:p w14:paraId="62180A40" w14:textId="6496513D" w:rsidR="00C3469E" w:rsidRPr="005D3685" w:rsidRDefault="00C3469E" w:rsidP="00C3469E">
      <w:pPr>
        <w:numPr>
          <w:ilvl w:val="1"/>
          <w:numId w:val="4"/>
        </w:numPr>
        <w:spacing w:after="0"/>
        <w:jc w:val="both"/>
        <w:rPr>
          <w:rFonts w:ascii="Calibri" w:hAnsi="Calibri" w:cs="Calibri"/>
          <w:spacing w:val="-6"/>
          <w:w w:val="105"/>
        </w:rPr>
      </w:pPr>
      <w:r>
        <w:rPr>
          <w:rFonts w:ascii="Calibri" w:hAnsi="Calibri" w:cs="Calibri"/>
          <w:b/>
          <w:spacing w:val="-6"/>
          <w:w w:val="105"/>
        </w:rPr>
        <w:t>La couverture vaccinale du vaccin contre le pneumocoque</w:t>
      </w:r>
      <w:r>
        <w:rPr>
          <w:rFonts w:ascii="Calibri" w:hAnsi="Calibri" w:cs="Calibri"/>
          <w:spacing w:val="-6"/>
          <w:w w:val="105"/>
        </w:rPr>
        <w:t xml:space="preserve"> a augmenté de</w:t>
      </w:r>
      <w:r w:rsidRPr="005D3685">
        <w:rPr>
          <w:rFonts w:ascii="Calibri" w:hAnsi="Calibri" w:cs="Calibri"/>
          <w:b/>
          <w:spacing w:val="-6"/>
          <w:w w:val="105"/>
        </w:rPr>
        <w:t xml:space="preserve"> </w:t>
      </w:r>
      <w:r>
        <w:rPr>
          <w:rFonts w:ascii="Calibri" w:hAnsi="Calibri" w:cs="Calibri"/>
          <w:b/>
          <w:spacing w:val="-6"/>
          <w:w w:val="105"/>
        </w:rPr>
        <w:t>1.7</w:t>
      </w:r>
      <w:r w:rsidRPr="005D3685">
        <w:rPr>
          <w:rFonts w:ascii="Calibri" w:hAnsi="Calibri" w:cs="Calibri"/>
          <w:b/>
          <w:spacing w:val="-6"/>
          <w:w w:val="105"/>
        </w:rPr>
        <w:t xml:space="preserve"> points</w:t>
      </w:r>
      <w:r w:rsidRPr="005D3685">
        <w:rPr>
          <w:rFonts w:ascii="Calibri" w:hAnsi="Calibri" w:cs="Calibri"/>
          <w:spacing w:val="-6"/>
          <w:w w:val="105"/>
        </w:rPr>
        <w:t xml:space="preserve"> </w:t>
      </w:r>
      <w:r>
        <w:rPr>
          <w:rFonts w:ascii="Calibri" w:hAnsi="Calibri" w:cs="Calibri"/>
          <w:spacing w:val="-6"/>
          <w:w w:val="105"/>
        </w:rPr>
        <w:t>chez les enfants âgés de 21 mois et nés au premier trimestre 2019 (91%) par rapport à celle estimée chez les enfants, au même âge, nés au premier trimestre 2017 (89.3%).</w:t>
      </w:r>
    </w:p>
    <w:p w14:paraId="546438B7" w14:textId="65AD8343" w:rsidR="00C3469E" w:rsidRDefault="00C3469E" w:rsidP="00C3469E">
      <w:pPr>
        <w:numPr>
          <w:ilvl w:val="1"/>
          <w:numId w:val="4"/>
        </w:numPr>
        <w:spacing w:after="0"/>
        <w:jc w:val="both"/>
        <w:rPr>
          <w:rFonts w:ascii="Calibri" w:hAnsi="Calibri" w:cs="Calibri"/>
          <w:spacing w:val="-6"/>
          <w:w w:val="105"/>
        </w:rPr>
      </w:pPr>
      <w:r>
        <w:rPr>
          <w:rFonts w:ascii="Calibri" w:hAnsi="Calibri" w:cs="Calibri"/>
          <w:b/>
          <w:spacing w:val="-6"/>
          <w:w w:val="105"/>
        </w:rPr>
        <w:lastRenderedPageBreak/>
        <w:t xml:space="preserve">La couverture vaccinale du vaccin contre le méningocoque C 1 dose </w:t>
      </w:r>
      <w:r>
        <w:rPr>
          <w:rFonts w:ascii="Calibri" w:hAnsi="Calibri" w:cs="Calibri"/>
          <w:spacing w:val="-6"/>
          <w:w w:val="105"/>
        </w:rPr>
        <w:t xml:space="preserve">a augmenté de </w:t>
      </w:r>
      <w:r>
        <w:rPr>
          <w:rFonts w:ascii="Calibri" w:hAnsi="Calibri" w:cs="Calibri"/>
          <w:b/>
          <w:spacing w:val="-6"/>
          <w:w w:val="105"/>
        </w:rPr>
        <w:t>12.2</w:t>
      </w:r>
      <w:r w:rsidRPr="005D3685">
        <w:rPr>
          <w:rFonts w:ascii="Calibri" w:hAnsi="Calibri" w:cs="Calibri"/>
          <w:b/>
          <w:spacing w:val="-6"/>
          <w:w w:val="105"/>
        </w:rPr>
        <w:t xml:space="preserve"> points</w:t>
      </w:r>
      <w:r w:rsidRPr="005D3685">
        <w:rPr>
          <w:rFonts w:ascii="Calibri" w:hAnsi="Calibri" w:cs="Calibri"/>
          <w:spacing w:val="-6"/>
          <w:w w:val="105"/>
        </w:rPr>
        <w:t xml:space="preserve"> </w:t>
      </w:r>
      <w:r>
        <w:rPr>
          <w:rFonts w:ascii="Calibri" w:hAnsi="Calibri" w:cs="Calibri"/>
          <w:spacing w:val="-6"/>
          <w:w w:val="105"/>
        </w:rPr>
        <w:t>chez les enfants âgés de 8 mois et nés au premier trimestre 2020 (88%) par rapport à celle estimée chez les enfants, au même âge, nés au premier trimestre 2018 (75.8%)</w:t>
      </w:r>
    </w:p>
    <w:p w14:paraId="6051943B" w14:textId="278B3F82" w:rsidR="00C3469E" w:rsidRDefault="00C3469E" w:rsidP="00C3469E">
      <w:pPr>
        <w:numPr>
          <w:ilvl w:val="1"/>
          <w:numId w:val="4"/>
        </w:numPr>
        <w:spacing w:after="0"/>
        <w:jc w:val="both"/>
        <w:rPr>
          <w:rFonts w:ascii="Calibri" w:hAnsi="Calibri" w:cs="Calibri"/>
          <w:spacing w:val="-6"/>
          <w:w w:val="105"/>
        </w:rPr>
      </w:pPr>
      <w:r>
        <w:rPr>
          <w:rFonts w:ascii="Calibri" w:hAnsi="Calibri" w:cs="Calibri"/>
          <w:b/>
          <w:spacing w:val="-6"/>
          <w:w w:val="105"/>
        </w:rPr>
        <w:t xml:space="preserve">La couverture vaccinale du vaccin contre le méningocoque C 2 doses </w:t>
      </w:r>
      <w:r>
        <w:rPr>
          <w:rFonts w:ascii="Calibri" w:hAnsi="Calibri" w:cs="Calibri"/>
          <w:spacing w:val="-6"/>
          <w:w w:val="105"/>
        </w:rPr>
        <w:t xml:space="preserve">a augmenté de </w:t>
      </w:r>
      <w:r>
        <w:rPr>
          <w:rFonts w:ascii="Calibri" w:hAnsi="Calibri" w:cs="Calibri"/>
          <w:b/>
          <w:spacing w:val="-6"/>
          <w:w w:val="105"/>
        </w:rPr>
        <w:t xml:space="preserve">9.2 </w:t>
      </w:r>
      <w:r w:rsidRPr="005D3685">
        <w:rPr>
          <w:rFonts w:ascii="Calibri" w:hAnsi="Calibri" w:cs="Calibri"/>
          <w:b/>
          <w:spacing w:val="-6"/>
          <w:w w:val="105"/>
        </w:rPr>
        <w:t>points</w:t>
      </w:r>
      <w:r w:rsidRPr="005D3685">
        <w:rPr>
          <w:rFonts w:ascii="Calibri" w:hAnsi="Calibri" w:cs="Calibri"/>
          <w:spacing w:val="-6"/>
          <w:w w:val="105"/>
        </w:rPr>
        <w:t xml:space="preserve"> </w:t>
      </w:r>
      <w:r>
        <w:rPr>
          <w:rFonts w:ascii="Calibri" w:hAnsi="Calibri" w:cs="Calibri"/>
          <w:spacing w:val="-6"/>
          <w:w w:val="105"/>
        </w:rPr>
        <w:t>chez les enfants âgés de 21 mois et nés au premier trimestre 2019 (90.2%) par rapport à celle estimée chez les enfants, au même âge, nés au premier trimestre 2017 (81%)</w:t>
      </w:r>
      <w:r w:rsidR="00BF1FD6">
        <w:rPr>
          <w:rFonts w:ascii="Calibri" w:hAnsi="Calibri" w:cs="Calibri"/>
          <w:spacing w:val="-6"/>
          <w:w w:val="105"/>
        </w:rPr>
        <w:t>.</w:t>
      </w:r>
    </w:p>
    <w:p w14:paraId="7EF3AC07" w14:textId="77777777" w:rsidR="00C3469E" w:rsidRPr="005D3685" w:rsidRDefault="00C3469E" w:rsidP="000D1F7D">
      <w:pPr>
        <w:spacing w:after="0"/>
        <w:ind w:left="1440"/>
        <w:jc w:val="both"/>
        <w:rPr>
          <w:rFonts w:ascii="Calibri" w:hAnsi="Calibri" w:cs="Calibri"/>
          <w:spacing w:val="-6"/>
          <w:w w:val="105"/>
        </w:rPr>
      </w:pPr>
    </w:p>
    <w:p w14:paraId="03ABCF9D" w14:textId="2103BD8B" w:rsidR="004154AF" w:rsidRDefault="004154AF" w:rsidP="004154AF">
      <w:pPr>
        <w:jc w:val="both"/>
        <w:rPr>
          <w:rFonts w:ascii="Calibri" w:hAnsi="Calibri" w:cs="Calibri"/>
          <w:spacing w:val="-6"/>
          <w:w w:val="105"/>
        </w:rPr>
      </w:pPr>
      <w:r>
        <w:rPr>
          <w:rFonts w:ascii="Calibri" w:hAnsi="Calibri" w:cs="Calibri"/>
          <w:spacing w:val="-6"/>
          <w:w w:val="105"/>
        </w:rPr>
        <w:t>C</w:t>
      </w:r>
      <w:r w:rsidRPr="006009AC">
        <w:rPr>
          <w:rFonts w:ascii="Calibri" w:hAnsi="Calibri" w:cs="Calibri"/>
          <w:spacing w:val="-6"/>
          <w:w w:val="105"/>
        </w:rPr>
        <w:t>hez les enfants et adolescents nés avant l’entrée en application de la loi</w:t>
      </w:r>
      <w:r>
        <w:rPr>
          <w:rFonts w:ascii="Calibri" w:hAnsi="Calibri" w:cs="Calibri"/>
          <w:spacing w:val="-6"/>
          <w:w w:val="105"/>
        </w:rPr>
        <w:t>, Santé publique France constate une a</w:t>
      </w:r>
      <w:r w:rsidRPr="006009AC">
        <w:rPr>
          <w:rFonts w:ascii="Calibri" w:hAnsi="Calibri" w:cs="Calibri"/>
          <w:spacing w:val="-6"/>
          <w:w w:val="105"/>
        </w:rPr>
        <w:t>ugmentation des couvertures vaccinales</w:t>
      </w:r>
      <w:r w:rsidR="00BF1FD6">
        <w:rPr>
          <w:rFonts w:ascii="Calibri" w:hAnsi="Calibri" w:cs="Calibri"/>
          <w:spacing w:val="-6"/>
          <w:w w:val="105"/>
        </w:rPr>
        <w:t xml:space="preserve"> </w:t>
      </w:r>
      <w:r w:rsidRPr="006009AC">
        <w:rPr>
          <w:rFonts w:ascii="Calibri" w:hAnsi="Calibri" w:cs="Calibri"/>
          <w:spacing w:val="-6"/>
          <w:w w:val="105"/>
        </w:rPr>
        <w:t>:</w:t>
      </w:r>
    </w:p>
    <w:p w14:paraId="1737D02E" w14:textId="77777777" w:rsidR="00D12EEE" w:rsidRPr="005D3685" w:rsidRDefault="005C04E5" w:rsidP="005D3685">
      <w:pPr>
        <w:numPr>
          <w:ilvl w:val="1"/>
          <w:numId w:val="5"/>
        </w:numPr>
        <w:spacing w:after="0"/>
        <w:jc w:val="both"/>
        <w:rPr>
          <w:rFonts w:ascii="Calibri" w:hAnsi="Calibri" w:cs="Calibri"/>
          <w:spacing w:val="-6"/>
          <w:w w:val="105"/>
        </w:rPr>
      </w:pPr>
      <w:r w:rsidRPr="006009AC">
        <w:rPr>
          <w:rFonts w:ascii="Calibri" w:hAnsi="Calibri" w:cs="Calibri"/>
          <w:b/>
          <w:spacing w:val="-6"/>
          <w:w w:val="105"/>
        </w:rPr>
        <w:t>+ 5,7 points pour 1</w:t>
      </w:r>
      <w:r w:rsidRPr="006009AC">
        <w:rPr>
          <w:rFonts w:ascii="Calibri" w:hAnsi="Calibri" w:cs="Calibri"/>
          <w:b/>
          <w:spacing w:val="-6"/>
          <w:w w:val="105"/>
          <w:vertAlign w:val="superscript"/>
        </w:rPr>
        <w:t>ère</w:t>
      </w:r>
      <w:r w:rsidRPr="006009AC">
        <w:rPr>
          <w:rFonts w:ascii="Calibri" w:hAnsi="Calibri" w:cs="Calibri"/>
          <w:b/>
          <w:spacing w:val="-6"/>
          <w:w w:val="105"/>
        </w:rPr>
        <w:t xml:space="preserve"> dose du vaccin HPV chez les jeunes filles de 15 ans nées en 2005</w:t>
      </w:r>
      <w:r w:rsidRPr="005D3685">
        <w:rPr>
          <w:rFonts w:ascii="Calibri" w:hAnsi="Calibri" w:cs="Calibri"/>
          <w:spacing w:val="-6"/>
          <w:w w:val="105"/>
        </w:rPr>
        <w:t xml:space="preserve"> (40,7%) en comparaison avec celle des jeunes filles nées en 2004 (34,9%) </w:t>
      </w:r>
    </w:p>
    <w:p w14:paraId="78867238" w14:textId="77777777" w:rsidR="00D12EEE" w:rsidRPr="006009AC" w:rsidRDefault="005C04E5" w:rsidP="005D3685">
      <w:pPr>
        <w:numPr>
          <w:ilvl w:val="1"/>
          <w:numId w:val="5"/>
        </w:numPr>
        <w:spacing w:after="0"/>
        <w:jc w:val="both"/>
        <w:rPr>
          <w:rFonts w:ascii="Calibri" w:hAnsi="Calibri" w:cs="Calibri"/>
          <w:b/>
          <w:spacing w:val="-6"/>
          <w:w w:val="105"/>
        </w:rPr>
      </w:pPr>
      <w:r w:rsidRPr="006009AC">
        <w:rPr>
          <w:rFonts w:ascii="Calibri" w:hAnsi="Calibri" w:cs="Calibri"/>
          <w:b/>
          <w:spacing w:val="-6"/>
          <w:w w:val="105"/>
        </w:rPr>
        <w:t xml:space="preserve">Augmentation de la couverture vaccinale du rattrapage de la vaccination contre le méningocoque C dans toutes les tranches d’âges au-delà de 2 ans  </w:t>
      </w:r>
    </w:p>
    <w:p w14:paraId="58D8CA93" w14:textId="77777777" w:rsidR="005D3685" w:rsidRDefault="005D3685" w:rsidP="005D3685">
      <w:pPr>
        <w:spacing w:after="0"/>
        <w:jc w:val="both"/>
        <w:rPr>
          <w:rFonts w:ascii="Calibri" w:hAnsi="Calibri" w:cs="Calibri"/>
          <w:spacing w:val="-6"/>
          <w:w w:val="105"/>
        </w:rPr>
      </w:pPr>
    </w:p>
    <w:p w14:paraId="0FE0498A" w14:textId="1F86C0C6" w:rsidR="00ED60A9" w:rsidRDefault="00ED60A9" w:rsidP="00C02CED">
      <w:pPr>
        <w:spacing w:after="0"/>
        <w:jc w:val="both"/>
        <w:rPr>
          <w:rFonts w:ascii="Calibri" w:hAnsi="Calibri" w:cs="Calibri"/>
          <w:spacing w:val="-6"/>
          <w:w w:val="105"/>
        </w:rPr>
      </w:pPr>
      <w:r w:rsidRPr="00C02CED">
        <w:rPr>
          <w:rFonts w:ascii="Calibri" w:hAnsi="Calibri" w:cs="Calibri"/>
          <w:spacing w:val="-6"/>
          <w:w w:val="105"/>
        </w:rPr>
        <w:t xml:space="preserve">L’extension de l’obligation vaccinale a permis d’améliorer significativement chez les nourrissons de moins de deux ans la couverture vaccinale, notamment contre les méningites C et la rougeole mais celles-ci doivent être particulièrement soutenues pour atteindre l’objectif de 95 % fixé par l’OMS. </w:t>
      </w:r>
    </w:p>
    <w:p w14:paraId="433B4CD8" w14:textId="77460BE7" w:rsidR="006B0D11" w:rsidRDefault="006B0D11" w:rsidP="003B165D">
      <w:pPr>
        <w:spacing w:after="0"/>
        <w:rPr>
          <w:rFonts w:ascii="Calibri" w:hAnsi="Calibri" w:cs="Calibri"/>
          <w:b/>
          <w:bCs/>
          <w:color w:val="0070C0"/>
          <w:spacing w:val="-4"/>
          <w:w w:val="105"/>
        </w:rPr>
      </w:pPr>
    </w:p>
    <w:p w14:paraId="55439900" w14:textId="77777777" w:rsidR="002817DB" w:rsidRDefault="002817DB" w:rsidP="003B165D">
      <w:pPr>
        <w:spacing w:after="0"/>
        <w:rPr>
          <w:rFonts w:ascii="Calibri" w:hAnsi="Calibri" w:cs="Calibri"/>
          <w:b/>
          <w:bCs/>
          <w:color w:val="0070C0"/>
          <w:spacing w:val="-4"/>
          <w:w w:val="105"/>
        </w:rPr>
      </w:pPr>
    </w:p>
    <w:p w14:paraId="3F8B5CCA" w14:textId="7740525D" w:rsidR="007E28AA" w:rsidRPr="000D1F7D" w:rsidRDefault="007E28AA" w:rsidP="006659C5">
      <w:pPr>
        <w:spacing w:after="0"/>
        <w:jc w:val="both"/>
        <w:rPr>
          <w:rFonts w:ascii="Calibri" w:hAnsi="Calibri" w:cs="Calibri"/>
          <w:b/>
          <w:bCs/>
          <w:color w:val="0070C0"/>
          <w:spacing w:val="-4"/>
          <w:w w:val="105"/>
          <w:sz w:val="24"/>
        </w:rPr>
      </w:pPr>
      <w:r w:rsidRPr="000D1F7D">
        <w:rPr>
          <w:rFonts w:ascii="Calibri" w:hAnsi="Calibri" w:cs="Calibri"/>
          <w:b/>
          <w:bCs/>
          <w:color w:val="0070C0"/>
          <w:spacing w:val="-4"/>
          <w:w w:val="105"/>
          <w:sz w:val="24"/>
        </w:rPr>
        <w:t>Les professionnels de santé sont plus nombreux à se former à la promotion de la vaccination</w:t>
      </w:r>
    </w:p>
    <w:p w14:paraId="2CB1E8A1" w14:textId="2E615397" w:rsidR="00DC7EAA" w:rsidRPr="004154AF" w:rsidRDefault="000333E6" w:rsidP="00A22911">
      <w:pPr>
        <w:spacing w:after="0"/>
        <w:jc w:val="both"/>
      </w:pPr>
      <w:r>
        <w:t xml:space="preserve">Toutes professions libérales confondues, les inscriptions aux actions de promotion de la vaccination ont augmenté de 54,8% au premier trimestre 2021 par rapport à la même période en 2020. </w:t>
      </w:r>
      <w:r w:rsidR="00DC7EAA" w:rsidRPr="00A22911">
        <w:t xml:space="preserve">Le calendrier des vaccinations 2021 à destination des professionnels de santé est disponible sur le </w:t>
      </w:r>
      <w:hyperlink r:id="rId10" w:history="1">
        <w:r w:rsidR="00DC7EAA" w:rsidRPr="00A22911">
          <w:rPr>
            <w:rStyle w:val="Lienhypertexte"/>
          </w:rPr>
          <w:t>site du ministère de</w:t>
        </w:r>
        <w:r w:rsidR="00B15ADD" w:rsidRPr="00A22911">
          <w:rPr>
            <w:rStyle w:val="Lienhypertexte"/>
          </w:rPr>
          <w:t>s Solidarités et de</w:t>
        </w:r>
        <w:r w:rsidR="00DC7EAA" w:rsidRPr="00A22911">
          <w:rPr>
            <w:rStyle w:val="Lienhypertexte"/>
          </w:rPr>
          <w:t xml:space="preserve"> la Santé.</w:t>
        </w:r>
      </w:hyperlink>
      <w:r w:rsidR="00DC7EAA" w:rsidRPr="00A22911">
        <w:t xml:space="preserve"> </w:t>
      </w:r>
    </w:p>
    <w:p w14:paraId="40FC5E13" w14:textId="7249BC08" w:rsidR="00DC7EAA" w:rsidRDefault="00DC7EAA" w:rsidP="004154AF">
      <w:pPr>
        <w:spacing w:after="0"/>
        <w:jc w:val="both"/>
        <w:rPr>
          <w:rFonts w:ascii="Calibri" w:hAnsi="Calibri" w:cs="Calibri"/>
          <w:spacing w:val="-6"/>
          <w:w w:val="105"/>
        </w:rPr>
      </w:pPr>
    </w:p>
    <w:p w14:paraId="11BF69AF" w14:textId="77777777" w:rsidR="002817DB" w:rsidRPr="004154AF" w:rsidRDefault="002817DB" w:rsidP="004154AF">
      <w:pPr>
        <w:spacing w:after="0"/>
        <w:jc w:val="both"/>
        <w:rPr>
          <w:rFonts w:ascii="Calibri" w:hAnsi="Calibri" w:cs="Calibri"/>
          <w:spacing w:val="-6"/>
          <w:w w:val="105"/>
        </w:rPr>
      </w:pPr>
    </w:p>
    <w:p w14:paraId="36CAD22F" w14:textId="5AB5A532" w:rsidR="000D1F7D" w:rsidRPr="000D1F7D" w:rsidRDefault="000D1F7D" w:rsidP="000D1F7D">
      <w:pPr>
        <w:spacing w:after="0"/>
        <w:jc w:val="both"/>
        <w:rPr>
          <w:rFonts w:ascii="Calibri" w:hAnsi="Calibri" w:cs="Calibri"/>
          <w:b/>
          <w:bCs/>
          <w:color w:val="0070C0"/>
          <w:spacing w:val="-4"/>
          <w:w w:val="105"/>
          <w:sz w:val="24"/>
        </w:rPr>
      </w:pPr>
      <w:r w:rsidRPr="000D1F7D">
        <w:rPr>
          <w:rFonts w:ascii="Calibri" w:hAnsi="Calibri" w:cs="Calibri"/>
          <w:b/>
          <w:bCs/>
          <w:color w:val="0070C0"/>
          <w:spacing w:val="-4"/>
          <w:w w:val="105"/>
          <w:sz w:val="24"/>
        </w:rPr>
        <w:t>La couverture vaccinale contre la COVID-19 continue également sa progression</w:t>
      </w:r>
    </w:p>
    <w:p w14:paraId="5A32064E" w14:textId="6BB5C170" w:rsidR="000D1F7D" w:rsidRPr="000D1F7D" w:rsidRDefault="000D1F7D" w:rsidP="000D1F7D">
      <w:pPr>
        <w:spacing w:after="0"/>
        <w:jc w:val="both"/>
        <w:rPr>
          <w:rFonts w:ascii="Calibri" w:hAnsi="Calibri" w:cs="Calibri"/>
          <w:spacing w:val="-6"/>
          <w:w w:val="105"/>
        </w:rPr>
      </w:pPr>
      <w:r w:rsidRPr="000D1F7D">
        <w:rPr>
          <w:rFonts w:ascii="Calibri" w:hAnsi="Calibri" w:cs="Calibri"/>
          <w:spacing w:val="-6"/>
          <w:w w:val="105"/>
        </w:rPr>
        <w:t>Considérée comme un axe essentiel de la lutte contre l'épidémie de Covid-19, la vaccination permet de réduire significativement les formes graves et la mortalité due au virus. La campagne vaccinale a débuté fin décembre 2020 et sera élargie à toute la population majeure à compter du 15 juin 2021.</w:t>
      </w:r>
    </w:p>
    <w:p w14:paraId="4C28CE81" w14:textId="77777777" w:rsidR="000D1F7D" w:rsidRPr="000D1F7D" w:rsidRDefault="000D1F7D" w:rsidP="000D1F7D">
      <w:pPr>
        <w:spacing w:after="0"/>
        <w:jc w:val="both"/>
        <w:rPr>
          <w:rFonts w:ascii="Calibri" w:hAnsi="Calibri" w:cs="Calibri"/>
          <w:spacing w:val="-6"/>
          <w:w w:val="105"/>
        </w:rPr>
      </w:pPr>
      <w:r w:rsidRPr="000D1F7D">
        <w:t xml:space="preserve">Au 17 mai 2021 : </w:t>
      </w:r>
    </w:p>
    <w:p w14:paraId="5487017B" w14:textId="77777777" w:rsidR="000D1F7D" w:rsidRPr="000D1F7D" w:rsidRDefault="000D1F7D" w:rsidP="000D1F7D">
      <w:pPr>
        <w:pStyle w:val="Paragraphedeliste"/>
        <w:numPr>
          <w:ilvl w:val="0"/>
          <w:numId w:val="8"/>
        </w:numPr>
        <w:spacing w:after="0" w:line="240" w:lineRule="auto"/>
        <w:jc w:val="both"/>
      </w:pPr>
      <w:r w:rsidRPr="000D1F7D">
        <w:rPr>
          <w:b/>
          <w:bCs/>
        </w:rPr>
        <w:t>Plus de 20 millions de personnes ont reçu au moins une dose de vaccin contre la COVID-19 et plus de 8 millions de personnes sont complétement vaccinées, soit respectivement 30,8% et 13,4% de la population en France</w:t>
      </w:r>
      <w:r w:rsidRPr="000D1F7D">
        <w:t xml:space="preserve"> </w:t>
      </w:r>
    </w:p>
    <w:p w14:paraId="5A50A49F" w14:textId="77777777" w:rsidR="000D1F7D" w:rsidRPr="000D1F7D" w:rsidRDefault="000D1F7D" w:rsidP="000D1F7D">
      <w:pPr>
        <w:pStyle w:val="Paragraphedeliste"/>
        <w:spacing w:after="0" w:line="240" w:lineRule="auto"/>
        <w:ind w:left="436"/>
        <w:jc w:val="both"/>
        <w:rPr>
          <w:b/>
          <w:bCs/>
        </w:rPr>
      </w:pPr>
    </w:p>
    <w:p w14:paraId="6CD594A2" w14:textId="77777777" w:rsidR="000D1F7D" w:rsidRPr="00CA504A" w:rsidRDefault="000D1F7D" w:rsidP="000D1F7D">
      <w:pPr>
        <w:spacing w:after="0" w:line="240" w:lineRule="auto"/>
        <w:jc w:val="both"/>
      </w:pPr>
      <w:r w:rsidRPr="000D1F7D">
        <w:t xml:space="preserve">D’après les résultats de </w:t>
      </w:r>
      <w:hyperlink r:id="rId11" w:history="1">
        <w:r w:rsidRPr="000D1F7D">
          <w:rPr>
            <w:rStyle w:val="Lienhypertexte"/>
          </w:rPr>
          <w:t>l’enquête CoviPrev</w:t>
        </w:r>
      </w:hyperlink>
      <w:r w:rsidRPr="000D1F7D">
        <w:t xml:space="preserve"> (vague 23, 21-23 avril), publiés dans </w:t>
      </w:r>
      <w:hyperlink r:id="rId12" w:history="1">
        <w:r w:rsidRPr="000D1F7D">
          <w:rPr>
            <w:rStyle w:val="Lienhypertexte"/>
          </w:rPr>
          <w:t>le point épidémiologique du 6 mai 2021</w:t>
        </w:r>
      </w:hyperlink>
      <w:r w:rsidRPr="000D1F7D">
        <w:t xml:space="preserve">, </w:t>
      </w:r>
      <w:r w:rsidRPr="000D1F7D">
        <w:rPr>
          <w:b/>
        </w:rPr>
        <w:t>plus de la moitié des personnes interrogées non vaccinées (56%) répondaient vouloir certainement ou probablement se faire vacciner contre la Covid-19.</w:t>
      </w:r>
      <w:r w:rsidRPr="000D1F7D">
        <w:t xml:space="preserve"> Ce pourcentage est stable depuis février. Les personnes les plus âgées sont plus enclines à vouloir se faire vacciner (63%). </w:t>
      </w:r>
      <w:r w:rsidRPr="000D1F7D">
        <w:rPr>
          <w:b/>
        </w:rPr>
        <w:t>La proportion des jeunes de 18-24 ans ayant l’intention de se faire vacciner a quant à elle fortement augmenté entre mars (36%) et avril (55%).</w:t>
      </w:r>
      <w:r>
        <w:t xml:space="preserve"> </w:t>
      </w:r>
    </w:p>
    <w:p w14:paraId="66E4A688" w14:textId="58B3F3E6" w:rsidR="000D1F7D" w:rsidRPr="000D1F7D" w:rsidRDefault="000D1F7D" w:rsidP="000D1F7D">
      <w:pPr>
        <w:spacing w:after="0" w:line="240" w:lineRule="auto"/>
        <w:jc w:val="both"/>
        <w:rPr>
          <w:b/>
          <w:bCs/>
        </w:rPr>
      </w:pPr>
    </w:p>
    <w:p w14:paraId="587B4249" w14:textId="77777777" w:rsidR="000D1F7D" w:rsidRDefault="000D1F7D" w:rsidP="000D1F7D">
      <w:pPr>
        <w:spacing w:after="0"/>
        <w:jc w:val="both"/>
        <w:rPr>
          <w:rFonts w:ascii="Calibri" w:hAnsi="Calibri" w:cs="Calibri"/>
          <w:spacing w:val="-6"/>
          <w:w w:val="105"/>
        </w:rPr>
      </w:pPr>
    </w:p>
    <w:p w14:paraId="349FE80A" w14:textId="75959016" w:rsidR="000D1F7D" w:rsidRDefault="000D1F7D" w:rsidP="000D1F7D">
      <w:pPr>
        <w:spacing w:after="0"/>
        <w:jc w:val="both"/>
        <w:rPr>
          <w:rFonts w:ascii="Calibri" w:hAnsi="Calibri" w:cs="Calibri"/>
          <w:spacing w:val="-6"/>
          <w:w w:val="105"/>
        </w:rPr>
      </w:pPr>
      <w:r w:rsidRPr="000D1F7D">
        <w:rPr>
          <w:rFonts w:ascii="Calibri" w:hAnsi="Calibri" w:cs="Calibri"/>
          <w:spacing w:val="-6"/>
          <w:w w:val="105"/>
        </w:rPr>
        <w:t xml:space="preserve">La Semaine européenne de la vaccination est l’occasion de rappeler à tous que la vaccination est le moyen de prévention le plus efficace et le plus sûr contre de nombreuses maladies infectieuses potentiellement graves telles que les méningites à méningocoque, la rougeole, la coqueluche et le tétanos. </w:t>
      </w:r>
    </w:p>
    <w:p w14:paraId="05C58EA3" w14:textId="77777777" w:rsidR="000D1F7D" w:rsidRPr="000D1F7D" w:rsidRDefault="000D1F7D" w:rsidP="000D1F7D">
      <w:pPr>
        <w:spacing w:after="0"/>
        <w:jc w:val="both"/>
        <w:rPr>
          <w:rFonts w:ascii="Calibri" w:hAnsi="Calibri" w:cs="Calibri"/>
          <w:spacing w:val="-6"/>
          <w:w w:val="105"/>
        </w:rPr>
      </w:pPr>
    </w:p>
    <w:p w14:paraId="28EF64C9" w14:textId="0BAADAFE" w:rsidR="000D1F7D" w:rsidRDefault="000D1F7D" w:rsidP="000D1F7D">
      <w:pPr>
        <w:spacing w:after="0"/>
        <w:jc w:val="both"/>
        <w:rPr>
          <w:rFonts w:ascii="Calibri" w:hAnsi="Calibri" w:cs="Calibri"/>
          <w:b/>
          <w:spacing w:val="-6"/>
          <w:w w:val="105"/>
        </w:rPr>
      </w:pPr>
      <w:r w:rsidRPr="000D1F7D">
        <w:rPr>
          <w:rFonts w:ascii="Calibri" w:hAnsi="Calibri" w:cs="Calibri"/>
          <w:spacing w:val="-6"/>
          <w:w w:val="105"/>
        </w:rPr>
        <w:t xml:space="preserve">Par ailleurs, </w:t>
      </w:r>
      <w:r w:rsidRPr="000D1F7D">
        <w:rPr>
          <w:rFonts w:ascii="Calibri" w:hAnsi="Calibri" w:cs="Calibri"/>
          <w:b/>
          <w:spacing w:val="-6"/>
          <w:w w:val="105"/>
        </w:rPr>
        <w:t>seule une vaccination de masse contre la Covid-19 permettrait d’atteindre rapidement une immunité collective susceptible d’influencer très favorablement la dynamique de l’épidémie et de prévenir la saturation du système de santé.</w:t>
      </w:r>
    </w:p>
    <w:p w14:paraId="24EDE6B2" w14:textId="5422930F" w:rsidR="000D1F7D" w:rsidRDefault="000D1F7D" w:rsidP="006A16E1">
      <w:pPr>
        <w:spacing w:line="21" w:lineRule="atLeast"/>
        <w:ind w:right="-284"/>
        <w:jc w:val="both"/>
        <w:rPr>
          <w:rFonts w:ascii="Calibri" w:eastAsia="Times New Roman" w:hAnsi="Calibri" w:cs="Calibri"/>
          <w:b/>
          <w:color w:val="0070C0"/>
          <w:spacing w:val="5"/>
          <w:kern w:val="28"/>
        </w:rPr>
      </w:pPr>
    </w:p>
    <w:p w14:paraId="0F7CAC5C" w14:textId="77777777" w:rsidR="002817DB" w:rsidRDefault="002817DB" w:rsidP="002817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Calibri" w:hAnsi="Calibri" w:cs="Calibri"/>
          <w:b/>
          <w:bCs/>
          <w:color w:val="0070C0"/>
          <w:spacing w:val="-4"/>
          <w:w w:val="105"/>
        </w:rPr>
      </w:pPr>
      <w:r w:rsidRPr="004A1010">
        <w:rPr>
          <w:rFonts w:ascii="Calibri" w:hAnsi="Calibri" w:cs="Calibri"/>
          <w:b/>
          <w:bCs/>
          <w:color w:val="0070C0"/>
          <w:spacing w:val="-4"/>
          <w:w w:val="105"/>
        </w:rPr>
        <w:lastRenderedPageBreak/>
        <w:t>Vaccination-info-service.fr : un site de référence accessible à tous les publics</w:t>
      </w:r>
    </w:p>
    <w:p w14:paraId="3CECF500" w14:textId="77777777" w:rsidR="002817DB" w:rsidRPr="004A1010" w:rsidRDefault="002817DB" w:rsidP="002817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Calibri" w:hAnsi="Calibri" w:cs="Calibri"/>
          <w:b/>
          <w:bCs/>
          <w:color w:val="0070C0"/>
          <w:spacing w:val="-4"/>
          <w:w w:val="105"/>
        </w:rPr>
      </w:pPr>
    </w:p>
    <w:p w14:paraId="697FE7F3" w14:textId="77777777" w:rsidR="002817DB" w:rsidRPr="006A16E1" w:rsidRDefault="002817DB" w:rsidP="002817DB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Lienhypertexte"/>
          <w:color w:val="000000"/>
          <w:sz w:val="22"/>
          <w:szCs w:val="22"/>
          <w:u w:val="none"/>
        </w:rPr>
      </w:pPr>
      <w:r>
        <w:rPr>
          <w:sz w:val="22"/>
          <w:szCs w:val="22"/>
        </w:rPr>
        <w:t xml:space="preserve">Le site institutionnel de référence sur la vaccination, </w:t>
      </w:r>
      <w:hyperlink r:id="rId13" w:history="1">
        <w:r w:rsidRPr="00317CB3">
          <w:rPr>
            <w:rStyle w:val="Lienhypertexte"/>
            <w:b/>
            <w:bCs/>
            <w:sz w:val="22"/>
            <w:szCs w:val="22"/>
          </w:rPr>
          <w:t>Vaccination-info-service</w:t>
        </w:r>
      </w:hyperlink>
      <w:r>
        <w:rPr>
          <w:sz w:val="22"/>
          <w:szCs w:val="22"/>
        </w:rPr>
        <w:t xml:space="preserve">, </w:t>
      </w:r>
      <w:r w:rsidRPr="00F943FC">
        <w:rPr>
          <w:sz w:val="22"/>
          <w:szCs w:val="22"/>
        </w:rPr>
        <w:t xml:space="preserve">permet à chacun d’accéder à </w:t>
      </w:r>
      <w:r w:rsidRPr="00317CB3">
        <w:rPr>
          <w:sz w:val="22"/>
          <w:szCs w:val="22"/>
        </w:rPr>
        <w:t xml:space="preserve">des informations factuelles, pratiques et scientifiques </w:t>
      </w:r>
      <w:r w:rsidRPr="00F943FC">
        <w:rPr>
          <w:sz w:val="22"/>
          <w:szCs w:val="22"/>
        </w:rPr>
        <w:t xml:space="preserve">sur la vaccination aux différents âges de la vie, avec des focus par maladie et des ressources vers des contenus fiables. </w:t>
      </w:r>
      <w:r>
        <w:rPr>
          <w:sz w:val="22"/>
          <w:szCs w:val="22"/>
        </w:rPr>
        <w:t>Régulièrement actualisé et enrichi, l’</w:t>
      </w:r>
      <w:hyperlink r:id="rId14" w:history="1">
        <w:r w:rsidRPr="00F943FC">
          <w:rPr>
            <w:rStyle w:val="Lienhypertexte"/>
            <w:sz w:val="22"/>
            <w:szCs w:val="22"/>
          </w:rPr>
          <w:t>espace dédié à la vaccination contre la COVID-19</w:t>
        </w:r>
      </w:hyperlink>
      <w:r>
        <w:rPr>
          <w:sz w:val="22"/>
          <w:szCs w:val="22"/>
        </w:rPr>
        <w:t xml:space="preserve"> tente lui aussi de répondre au plus grand nombre de questions à travers différentes rubriques : « Qui doit se faire vacciner et pourquoi ? », « Efficacité et impact », « principales contre-indications »…  </w:t>
      </w:r>
      <w:r w:rsidRPr="00317CB3">
        <w:rPr>
          <w:sz w:val="22"/>
          <w:szCs w:val="22"/>
        </w:rPr>
        <w:t xml:space="preserve">Le site dispose </w:t>
      </w:r>
      <w:r>
        <w:rPr>
          <w:sz w:val="22"/>
          <w:szCs w:val="22"/>
        </w:rPr>
        <w:t xml:space="preserve">également </w:t>
      </w:r>
      <w:r w:rsidRPr="00317CB3">
        <w:rPr>
          <w:sz w:val="22"/>
          <w:szCs w:val="22"/>
        </w:rPr>
        <w:t xml:space="preserve">d’un « Espace Pro », spécialement conçu pour les professionnels de santé, acteurs essentiels de la vaccination. </w:t>
      </w:r>
      <w:r>
        <w:rPr>
          <w:sz w:val="22"/>
          <w:szCs w:val="22"/>
        </w:rPr>
        <w:t xml:space="preserve">Pour mieux connaître l’action de Santé publique France dans la vaccination contre la COVID-19 : </w:t>
      </w:r>
      <w:hyperlink r:id="rId15" w:history="1">
        <w:r w:rsidRPr="004F4150">
          <w:rPr>
            <w:rStyle w:val="Lienhypertexte"/>
            <w:sz w:val="22"/>
            <w:szCs w:val="22"/>
          </w:rPr>
          <w:t>https://www.santepubliquefrance.fr/dossiers/coronavir</w:t>
        </w:r>
        <w:bookmarkStart w:id="0" w:name="_GoBack"/>
        <w:bookmarkEnd w:id="0"/>
        <w:r w:rsidRPr="004F4150">
          <w:rPr>
            <w:rStyle w:val="Lienhypertexte"/>
            <w:sz w:val="22"/>
            <w:szCs w:val="22"/>
          </w:rPr>
          <w:t>us-covid-19/vaccination-contre-la-covid-19</w:t>
        </w:r>
      </w:hyperlink>
    </w:p>
    <w:p w14:paraId="6AF24525" w14:textId="77777777" w:rsidR="002817DB" w:rsidRDefault="002817DB" w:rsidP="002817DB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4D70889B" w14:textId="6B537D8C" w:rsidR="000D1F7D" w:rsidRDefault="000D1F7D" w:rsidP="006A16E1">
      <w:pPr>
        <w:spacing w:line="21" w:lineRule="atLeast"/>
        <w:ind w:right="-284"/>
        <w:jc w:val="both"/>
        <w:rPr>
          <w:rFonts w:ascii="Calibri" w:eastAsia="Times New Roman" w:hAnsi="Calibri" w:cs="Calibri"/>
          <w:b/>
          <w:color w:val="0070C0"/>
          <w:spacing w:val="5"/>
          <w:kern w:val="28"/>
        </w:rPr>
      </w:pPr>
    </w:p>
    <w:p w14:paraId="7D044D48" w14:textId="2915B2E0" w:rsidR="002817DB" w:rsidRDefault="002817DB" w:rsidP="006A16E1">
      <w:pPr>
        <w:spacing w:line="21" w:lineRule="atLeast"/>
        <w:ind w:right="-284"/>
        <w:jc w:val="both"/>
        <w:rPr>
          <w:rFonts w:ascii="Calibri" w:eastAsia="Times New Roman" w:hAnsi="Calibri" w:cs="Calibri"/>
          <w:b/>
          <w:color w:val="0070C0"/>
          <w:spacing w:val="5"/>
          <w:kern w:val="28"/>
        </w:rPr>
      </w:pPr>
    </w:p>
    <w:p w14:paraId="407C0E9F" w14:textId="77777777" w:rsidR="002817DB" w:rsidRPr="004154AF" w:rsidRDefault="002817DB" w:rsidP="006A16E1">
      <w:pPr>
        <w:spacing w:line="21" w:lineRule="atLeast"/>
        <w:ind w:right="-284"/>
        <w:jc w:val="both"/>
        <w:rPr>
          <w:rFonts w:ascii="Calibri" w:eastAsia="Times New Roman" w:hAnsi="Calibri" w:cs="Calibri"/>
          <w:b/>
          <w:color w:val="0070C0"/>
          <w:spacing w:val="5"/>
          <w:kern w:val="28"/>
        </w:rPr>
      </w:pPr>
    </w:p>
    <w:p w14:paraId="7B69F753" w14:textId="77777777" w:rsidR="00A06B92" w:rsidRPr="003E3C53" w:rsidRDefault="00A06B92" w:rsidP="00A06B92">
      <w:pPr>
        <w:pBdr>
          <w:bottom w:val="single" w:sz="4" w:space="1" w:color="auto"/>
        </w:pBdr>
        <w:spacing w:line="21" w:lineRule="atLeast"/>
        <w:ind w:left="-284" w:right="-284"/>
        <w:jc w:val="both"/>
        <w:rPr>
          <w:rFonts w:ascii="Calibri" w:eastAsia="Times New Roman" w:hAnsi="Calibri" w:cs="Calibri"/>
          <w:b/>
          <w:color w:val="0070C0"/>
          <w:spacing w:val="5"/>
          <w:kern w:val="28"/>
          <w:sz w:val="20"/>
        </w:rPr>
      </w:pPr>
      <w:r>
        <w:rPr>
          <w:rFonts w:ascii="Calibri" w:eastAsia="Times New Roman" w:hAnsi="Calibri" w:cs="Calibri"/>
          <w:b/>
          <w:color w:val="0070C0"/>
          <w:spacing w:val="5"/>
          <w:kern w:val="28"/>
          <w:sz w:val="20"/>
        </w:rPr>
        <w:t>C</w:t>
      </w:r>
      <w:r w:rsidRPr="003E3C53">
        <w:rPr>
          <w:rFonts w:ascii="Calibri" w:eastAsia="Times New Roman" w:hAnsi="Calibri" w:cs="Calibri"/>
          <w:b/>
          <w:color w:val="0070C0"/>
          <w:spacing w:val="5"/>
          <w:kern w:val="28"/>
          <w:sz w:val="20"/>
        </w:rPr>
        <w:t>ontacts presse</w:t>
      </w:r>
    </w:p>
    <w:p w14:paraId="431696F6" w14:textId="4C9DAB71" w:rsidR="006659C5" w:rsidRDefault="006659C5" w:rsidP="00A06B92">
      <w:pPr>
        <w:spacing w:after="0" w:line="21" w:lineRule="atLeast"/>
        <w:ind w:left="-284" w:right="-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Direction générale de la Santé</w:t>
      </w:r>
    </w:p>
    <w:p w14:paraId="57C6FF31" w14:textId="4A4BFCD0" w:rsidR="006659C5" w:rsidRDefault="006659C5" w:rsidP="00A06B92">
      <w:pPr>
        <w:spacing w:after="0" w:line="21" w:lineRule="atLeast"/>
        <w:ind w:left="-284" w:right="-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01 40 56 84 00 – </w:t>
      </w:r>
      <w:hyperlink r:id="rId16" w:history="1">
        <w:r w:rsidRPr="007252DA">
          <w:rPr>
            <w:rStyle w:val="Lienhypertexte"/>
            <w:rFonts w:ascii="Calibri" w:hAnsi="Calibri" w:cs="Calibri"/>
            <w:b/>
            <w:sz w:val="20"/>
            <w:szCs w:val="20"/>
          </w:rPr>
          <w:t>presse-dgs@sante.gouv.fr</w:t>
        </w:r>
      </w:hyperlink>
    </w:p>
    <w:p w14:paraId="705B5F78" w14:textId="25972BCD" w:rsidR="006659C5" w:rsidRDefault="006659C5" w:rsidP="00A06B92">
      <w:pPr>
        <w:spacing w:after="0" w:line="21" w:lineRule="atLeast"/>
        <w:ind w:left="-284" w:right="-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www.solidarites-sante.gouv.fr</w:t>
      </w:r>
    </w:p>
    <w:p w14:paraId="04D83D48" w14:textId="77777777" w:rsidR="006659C5" w:rsidRDefault="006659C5" w:rsidP="00A06B92">
      <w:pPr>
        <w:spacing w:after="0" w:line="21" w:lineRule="atLeast"/>
        <w:ind w:left="-284" w:right="-284"/>
        <w:rPr>
          <w:rFonts w:ascii="Calibri" w:hAnsi="Calibri" w:cs="Calibri"/>
          <w:b/>
          <w:sz w:val="20"/>
          <w:szCs w:val="20"/>
        </w:rPr>
      </w:pPr>
    </w:p>
    <w:p w14:paraId="2B42364C" w14:textId="74AF518B" w:rsidR="00A06B92" w:rsidRPr="003E3C53" w:rsidRDefault="00A06B92" w:rsidP="00A06B92">
      <w:pPr>
        <w:spacing w:after="0" w:line="21" w:lineRule="atLeast"/>
        <w:ind w:left="-284" w:right="-284"/>
        <w:rPr>
          <w:rFonts w:ascii="Calibri" w:hAnsi="Calibri" w:cs="Calibri"/>
          <w:sz w:val="20"/>
          <w:szCs w:val="20"/>
        </w:rPr>
      </w:pPr>
      <w:r w:rsidRPr="003E3C53">
        <w:rPr>
          <w:rFonts w:ascii="Calibri" w:hAnsi="Calibri" w:cs="Calibri"/>
          <w:b/>
          <w:sz w:val="20"/>
          <w:szCs w:val="20"/>
        </w:rPr>
        <w:t>S</w:t>
      </w:r>
      <w:r w:rsidRPr="003E3C53">
        <w:rPr>
          <w:rFonts w:ascii="Calibri" w:eastAsia="Times New Roman" w:hAnsi="Calibri" w:cs="Calibri"/>
          <w:b/>
          <w:spacing w:val="5"/>
          <w:kern w:val="28"/>
          <w:sz w:val="20"/>
          <w:szCs w:val="20"/>
        </w:rPr>
        <w:t xml:space="preserve">anté publique France - </w:t>
      </w:r>
      <w:hyperlink r:id="rId17" w:history="1">
        <w:r w:rsidRPr="003E3C53">
          <w:rPr>
            <w:rFonts w:ascii="Calibri" w:eastAsia="Times New Roman" w:hAnsi="Calibri" w:cs="Calibri"/>
            <w:color w:val="0070C0"/>
            <w:spacing w:val="5"/>
            <w:kern w:val="28"/>
            <w:sz w:val="20"/>
            <w:szCs w:val="20"/>
            <w:u w:val="single"/>
          </w:rPr>
          <w:t>presse@santepubliquefrance.fr</w:t>
        </w:r>
      </w:hyperlink>
    </w:p>
    <w:p w14:paraId="2629C0ED" w14:textId="77777777" w:rsidR="00A06B92" w:rsidRDefault="00A06B92" w:rsidP="00A06B92">
      <w:pPr>
        <w:spacing w:after="0" w:line="21" w:lineRule="atLeast"/>
        <w:ind w:left="-284" w:right="-284"/>
        <w:rPr>
          <w:rFonts w:ascii="Calibri" w:hAnsi="Calibri" w:cs="Calibri"/>
          <w:color w:val="4D4D4F"/>
          <w:sz w:val="20"/>
          <w:szCs w:val="20"/>
        </w:rPr>
      </w:pPr>
      <w:r w:rsidRPr="003E3C53">
        <w:rPr>
          <w:rFonts w:ascii="Calibri" w:hAnsi="Calibri" w:cs="Calibri"/>
          <w:sz w:val="20"/>
          <w:szCs w:val="20"/>
        </w:rPr>
        <w:t>Vanessa Lemoine : 01 55 12 53 36 - Cynthia Bessarion : 01 71 80 15 66 - Stéphanie Champion : 01 41 79 67 48</w:t>
      </w:r>
      <w:r>
        <w:rPr>
          <w:rFonts w:ascii="Calibri" w:eastAsia="Times New Roman" w:hAnsi="Calibri" w:cs="Calibri"/>
          <w:spacing w:val="5"/>
          <w:kern w:val="28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pacing w:val="5"/>
          <w:kern w:val="28"/>
          <w:sz w:val="20"/>
          <w:szCs w:val="20"/>
        </w:rPr>
        <w:br/>
      </w:r>
      <w:r w:rsidRPr="003E3C53">
        <w:rPr>
          <w:rFonts w:ascii="Calibri" w:eastAsia="Times New Roman" w:hAnsi="Calibri" w:cs="Calibri"/>
          <w:spacing w:val="5"/>
          <w:kern w:val="28"/>
          <w:sz w:val="20"/>
          <w:szCs w:val="20"/>
        </w:rPr>
        <w:t xml:space="preserve">Marie Delibéros : 01 41 79 69 61 </w:t>
      </w:r>
      <w:r w:rsidRPr="003E3C53">
        <w:rPr>
          <w:rFonts w:ascii="Calibri" w:hAnsi="Calibri" w:cs="Calibri"/>
          <w:sz w:val="20"/>
          <w:szCs w:val="20"/>
        </w:rPr>
        <w:t xml:space="preserve">- Charlène Charbuy : 01 </w:t>
      </w:r>
      <w:r w:rsidRPr="00A24EC0">
        <w:rPr>
          <w:rFonts w:ascii="Calibri" w:hAnsi="Calibri" w:cs="Calibri"/>
          <w:sz w:val="20"/>
          <w:szCs w:val="20"/>
        </w:rPr>
        <w:t>41 79 68 64</w:t>
      </w:r>
    </w:p>
    <w:p w14:paraId="2ADB0A3B" w14:textId="77777777" w:rsidR="00C66796" w:rsidRDefault="00A06B92" w:rsidP="005D4B0E">
      <w:pPr>
        <w:spacing w:after="0" w:line="21" w:lineRule="atLeast"/>
        <w:ind w:left="-284"/>
        <w:rPr>
          <w:rFonts w:ascii="Calibri" w:eastAsiaTheme="minorEastAsia" w:hAnsi="Calibri" w:cs="Calibri"/>
          <w:noProof/>
          <w:color w:val="4D4D4F"/>
          <w:sz w:val="16"/>
          <w:szCs w:val="16"/>
          <w:lang w:eastAsia="fr-FR"/>
        </w:rPr>
      </w:pPr>
      <w:r w:rsidRPr="003E3C53">
        <w:rPr>
          <w:rFonts w:ascii="Calibri" w:eastAsiaTheme="minorEastAsia" w:hAnsi="Calibri" w:cs="Calibri"/>
          <w:noProof/>
          <w:color w:val="4D4D4F"/>
          <w:sz w:val="16"/>
          <w:szCs w:val="16"/>
          <w:lang w:eastAsia="fr-FR"/>
        </w:rPr>
        <w:t xml:space="preserve">Retrouvez-nous sur    </w:t>
      </w:r>
      <w:r w:rsidRPr="003E3C53">
        <w:rPr>
          <w:rFonts w:ascii="Calibri" w:eastAsiaTheme="minorEastAsia" w:hAnsi="Calibri" w:cs="Calibri"/>
          <w:noProof/>
          <w:color w:val="0000FF"/>
          <w:sz w:val="16"/>
          <w:szCs w:val="16"/>
          <w:lang w:eastAsia="fr-FR"/>
        </w:rPr>
        <w:drawing>
          <wp:inline distT="0" distB="0" distL="0" distR="0" wp14:anchorId="6541EBF5" wp14:editId="2D060DAA">
            <wp:extent cx="209550" cy="171450"/>
            <wp:effectExtent l="0" t="0" r="0" b="0"/>
            <wp:docPr id="6" name="Image 6" descr="logo_twitt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twitter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C53">
        <w:rPr>
          <w:rFonts w:ascii="Calibri" w:eastAsiaTheme="minorEastAsia" w:hAnsi="Calibri" w:cs="Calibri"/>
          <w:noProof/>
          <w:color w:val="4D4D4F"/>
          <w:sz w:val="16"/>
          <w:szCs w:val="16"/>
          <w:lang w:eastAsia="fr-FR"/>
        </w:rPr>
        <w:t>    </w:t>
      </w:r>
      <w:r w:rsidRPr="003E3C53">
        <w:rPr>
          <w:rFonts w:ascii="Calibri" w:eastAsiaTheme="minorEastAsia" w:hAnsi="Calibri" w:cs="Calibri"/>
          <w:noProof/>
          <w:color w:val="0000FF"/>
          <w:sz w:val="16"/>
          <w:szCs w:val="16"/>
          <w:lang w:eastAsia="fr-FR"/>
        </w:rPr>
        <w:drawing>
          <wp:inline distT="0" distB="0" distL="0" distR="0" wp14:anchorId="5C470FAB" wp14:editId="2D30F5F4">
            <wp:extent cx="190500" cy="190500"/>
            <wp:effectExtent l="0" t="0" r="0" b="0"/>
            <wp:docPr id="5" name="Image 5" descr="linkedi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inkedi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C53">
        <w:rPr>
          <w:rFonts w:ascii="Calibri" w:eastAsiaTheme="minorEastAsia" w:hAnsi="Calibri" w:cs="Calibri"/>
          <w:noProof/>
          <w:color w:val="4D4D4F"/>
          <w:sz w:val="16"/>
          <w:szCs w:val="16"/>
          <w:lang w:eastAsia="fr-FR"/>
        </w:rPr>
        <w:t>    </w:t>
      </w:r>
      <w:r w:rsidRPr="003E3C53">
        <w:rPr>
          <w:rFonts w:ascii="Calibri" w:eastAsiaTheme="minorEastAsia" w:hAnsi="Calibri" w:cs="Calibri"/>
          <w:noProof/>
          <w:color w:val="0000FF"/>
          <w:sz w:val="16"/>
          <w:szCs w:val="16"/>
          <w:lang w:eastAsia="fr-FR"/>
        </w:rPr>
        <w:drawing>
          <wp:inline distT="0" distB="0" distL="0" distR="0" wp14:anchorId="4A585B85" wp14:editId="3ABBDAE7">
            <wp:extent cx="190500" cy="190500"/>
            <wp:effectExtent l="0" t="0" r="0" b="0"/>
            <wp:docPr id="4" name="Image 4" descr="facebook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facebook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C53">
        <w:rPr>
          <w:rFonts w:ascii="Calibri" w:eastAsiaTheme="minorEastAsia" w:hAnsi="Calibri" w:cs="Calibri"/>
          <w:noProof/>
          <w:color w:val="4D4D4F"/>
          <w:sz w:val="16"/>
          <w:szCs w:val="16"/>
          <w:lang w:eastAsia="fr-FR"/>
        </w:rPr>
        <w:t>    </w:t>
      </w:r>
      <w:r w:rsidRPr="003E3C53">
        <w:rPr>
          <w:rFonts w:ascii="Calibri" w:eastAsiaTheme="minorEastAsia" w:hAnsi="Calibri" w:cs="Calibri"/>
          <w:noProof/>
          <w:color w:val="0000FF"/>
          <w:sz w:val="16"/>
          <w:szCs w:val="16"/>
          <w:lang w:eastAsia="fr-FR"/>
        </w:rPr>
        <w:drawing>
          <wp:inline distT="0" distB="0" distL="0" distR="0" wp14:anchorId="53C9A4BC" wp14:editId="79C1B1CF">
            <wp:extent cx="266700" cy="190500"/>
            <wp:effectExtent l="0" t="0" r="0" b="0"/>
            <wp:docPr id="2" name="Image 2" descr="logo_youtub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_youtub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C53">
        <w:rPr>
          <w:rFonts w:ascii="Calibri" w:eastAsiaTheme="minorEastAsia" w:hAnsi="Calibri" w:cs="Calibri"/>
          <w:noProof/>
          <w:color w:val="4D4D4F"/>
          <w:sz w:val="16"/>
          <w:szCs w:val="16"/>
          <w:lang w:eastAsia="fr-FR"/>
        </w:rPr>
        <w:t>    </w:t>
      </w:r>
      <w:r w:rsidRPr="003E3C53">
        <w:rPr>
          <w:rFonts w:ascii="Calibri" w:eastAsiaTheme="minorEastAsia" w:hAnsi="Calibri" w:cs="Calibri"/>
          <w:noProof/>
          <w:color w:val="0000FF"/>
          <w:sz w:val="16"/>
          <w:szCs w:val="16"/>
          <w:lang w:eastAsia="fr-FR"/>
        </w:rPr>
        <w:drawing>
          <wp:inline distT="0" distB="0" distL="0" distR="0" wp14:anchorId="16CF5986" wp14:editId="2BAA1EF5">
            <wp:extent cx="190500" cy="190500"/>
            <wp:effectExtent l="0" t="0" r="0" b="0"/>
            <wp:docPr id="7" name="Image 7" descr="inst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nsta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B841E" w14:textId="77777777" w:rsidR="00327701" w:rsidRDefault="00327701" w:rsidP="005D4B0E">
      <w:pPr>
        <w:spacing w:after="0" w:line="21" w:lineRule="atLeast"/>
        <w:ind w:left="-284"/>
        <w:rPr>
          <w:rFonts w:ascii="Calibri" w:eastAsiaTheme="minorEastAsia" w:hAnsi="Calibri" w:cs="Calibri"/>
          <w:noProof/>
          <w:color w:val="4D4D4F"/>
          <w:sz w:val="16"/>
          <w:szCs w:val="16"/>
          <w:lang w:eastAsia="fr-FR"/>
        </w:rPr>
      </w:pPr>
    </w:p>
    <w:p w14:paraId="1B878F70" w14:textId="0802596A" w:rsidR="00DC7EAA" w:rsidRDefault="00D40360" w:rsidP="00327701">
      <w:pPr>
        <w:spacing w:after="0" w:line="21" w:lineRule="atLeast"/>
        <w:ind w:left="-284"/>
        <w:rPr>
          <w:color w:val="0070C0"/>
          <w:sz w:val="20"/>
          <w:szCs w:val="20"/>
        </w:rPr>
      </w:pPr>
      <w:hyperlink r:id="rId28" w:history="1"/>
    </w:p>
    <w:p w14:paraId="33915326" w14:textId="1191EC2F" w:rsidR="00327701" w:rsidRPr="00327701" w:rsidRDefault="00327701" w:rsidP="00DC7EAA">
      <w:pPr>
        <w:spacing w:after="0" w:line="21" w:lineRule="atLeast"/>
        <w:ind w:left="-284"/>
        <w:rPr>
          <w:color w:val="0070C0"/>
          <w:sz w:val="20"/>
          <w:szCs w:val="20"/>
        </w:rPr>
      </w:pPr>
    </w:p>
    <w:sectPr w:rsidR="00327701" w:rsidRPr="00327701" w:rsidSect="00A24EC0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19B3A" w14:textId="77777777" w:rsidR="00D40360" w:rsidRDefault="00D40360" w:rsidP="00C66796">
      <w:pPr>
        <w:spacing w:after="0" w:line="240" w:lineRule="auto"/>
      </w:pPr>
      <w:r>
        <w:separator/>
      </w:r>
    </w:p>
  </w:endnote>
  <w:endnote w:type="continuationSeparator" w:id="0">
    <w:p w14:paraId="6CF69DAC" w14:textId="77777777" w:rsidR="00D40360" w:rsidRDefault="00D40360" w:rsidP="00C6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756C9" w14:textId="77777777" w:rsidR="00D40360" w:rsidRDefault="00D40360" w:rsidP="00C66796">
      <w:pPr>
        <w:spacing w:after="0" w:line="240" w:lineRule="auto"/>
      </w:pPr>
      <w:r>
        <w:separator/>
      </w:r>
    </w:p>
  </w:footnote>
  <w:footnote w:type="continuationSeparator" w:id="0">
    <w:p w14:paraId="4F2EDDB5" w14:textId="77777777" w:rsidR="00D40360" w:rsidRDefault="00D40360" w:rsidP="00C6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776"/>
    <w:multiLevelType w:val="hybridMultilevel"/>
    <w:tmpl w:val="66BE0A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02A8"/>
    <w:multiLevelType w:val="hybridMultilevel"/>
    <w:tmpl w:val="A57E46CE"/>
    <w:lvl w:ilvl="0" w:tplc="93163DD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170D3"/>
    <w:multiLevelType w:val="hybridMultilevel"/>
    <w:tmpl w:val="C3EA799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2A098E"/>
    <w:multiLevelType w:val="hybridMultilevel"/>
    <w:tmpl w:val="6D363968"/>
    <w:lvl w:ilvl="0" w:tplc="93303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ED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CF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C9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61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82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8F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01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DF62BF"/>
    <w:multiLevelType w:val="hybridMultilevel"/>
    <w:tmpl w:val="24F2AB0E"/>
    <w:lvl w:ilvl="0" w:tplc="D2242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4BC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C4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82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C8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22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C5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6E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4C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926CBF"/>
    <w:multiLevelType w:val="hybridMultilevel"/>
    <w:tmpl w:val="CD164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E2EDC"/>
    <w:multiLevelType w:val="hybridMultilevel"/>
    <w:tmpl w:val="E46E0E1C"/>
    <w:lvl w:ilvl="0" w:tplc="040C000D">
      <w:start w:val="1"/>
      <w:numFmt w:val="bullet"/>
      <w:lvlText w:val=""/>
      <w:lvlJc w:val="left"/>
      <w:pPr>
        <w:ind w:left="234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06"/>
    <w:rsid w:val="00004B9C"/>
    <w:rsid w:val="000333E6"/>
    <w:rsid w:val="000637EF"/>
    <w:rsid w:val="00094410"/>
    <w:rsid w:val="000D1F7D"/>
    <w:rsid w:val="000D2AC3"/>
    <w:rsid w:val="00123163"/>
    <w:rsid w:val="001309B3"/>
    <w:rsid w:val="00131DCB"/>
    <w:rsid w:val="00163D17"/>
    <w:rsid w:val="00180850"/>
    <w:rsid w:val="00191E18"/>
    <w:rsid w:val="001A3EF3"/>
    <w:rsid w:val="001D5963"/>
    <w:rsid w:val="002074B0"/>
    <w:rsid w:val="00240218"/>
    <w:rsid w:val="0027137B"/>
    <w:rsid w:val="002817DB"/>
    <w:rsid w:val="002A1E16"/>
    <w:rsid w:val="002A51EC"/>
    <w:rsid w:val="00302190"/>
    <w:rsid w:val="00327701"/>
    <w:rsid w:val="00350B01"/>
    <w:rsid w:val="0036373B"/>
    <w:rsid w:val="003B165D"/>
    <w:rsid w:val="003B403D"/>
    <w:rsid w:val="003F251C"/>
    <w:rsid w:val="004031CC"/>
    <w:rsid w:val="00412942"/>
    <w:rsid w:val="004154AF"/>
    <w:rsid w:val="00415F74"/>
    <w:rsid w:val="00443FC9"/>
    <w:rsid w:val="00486DE4"/>
    <w:rsid w:val="0049048F"/>
    <w:rsid w:val="004A1010"/>
    <w:rsid w:val="00500742"/>
    <w:rsid w:val="00564685"/>
    <w:rsid w:val="005C04E5"/>
    <w:rsid w:val="005D3685"/>
    <w:rsid w:val="005D4B0E"/>
    <w:rsid w:val="006009AC"/>
    <w:rsid w:val="00601BA1"/>
    <w:rsid w:val="00605D02"/>
    <w:rsid w:val="0062032D"/>
    <w:rsid w:val="006659C5"/>
    <w:rsid w:val="006734FF"/>
    <w:rsid w:val="006A16E1"/>
    <w:rsid w:val="006A5B9E"/>
    <w:rsid w:val="006A7645"/>
    <w:rsid w:val="006B0D11"/>
    <w:rsid w:val="006D1EC4"/>
    <w:rsid w:val="007E28AA"/>
    <w:rsid w:val="007F40C0"/>
    <w:rsid w:val="00801B04"/>
    <w:rsid w:val="0085330C"/>
    <w:rsid w:val="00857724"/>
    <w:rsid w:val="008C1A71"/>
    <w:rsid w:val="00943505"/>
    <w:rsid w:val="009B2B31"/>
    <w:rsid w:val="009B34BC"/>
    <w:rsid w:val="009B493D"/>
    <w:rsid w:val="009C0798"/>
    <w:rsid w:val="00A02FE7"/>
    <w:rsid w:val="00A06B92"/>
    <w:rsid w:val="00A22911"/>
    <w:rsid w:val="00A24EC0"/>
    <w:rsid w:val="00A71A06"/>
    <w:rsid w:val="00AB3B79"/>
    <w:rsid w:val="00AE3F9D"/>
    <w:rsid w:val="00B0176F"/>
    <w:rsid w:val="00B15ADD"/>
    <w:rsid w:val="00B36246"/>
    <w:rsid w:val="00B563ED"/>
    <w:rsid w:val="00BB72DE"/>
    <w:rsid w:val="00BF1FD6"/>
    <w:rsid w:val="00BF2AB5"/>
    <w:rsid w:val="00C027E7"/>
    <w:rsid w:val="00C02CED"/>
    <w:rsid w:val="00C1631E"/>
    <w:rsid w:val="00C16AA9"/>
    <w:rsid w:val="00C3469E"/>
    <w:rsid w:val="00C34EA2"/>
    <w:rsid w:val="00C66796"/>
    <w:rsid w:val="00C97A4E"/>
    <w:rsid w:val="00CA4755"/>
    <w:rsid w:val="00CA504A"/>
    <w:rsid w:val="00CD4835"/>
    <w:rsid w:val="00D12EEE"/>
    <w:rsid w:val="00D40360"/>
    <w:rsid w:val="00D40E79"/>
    <w:rsid w:val="00D8672A"/>
    <w:rsid w:val="00DC7EAA"/>
    <w:rsid w:val="00DD46D9"/>
    <w:rsid w:val="00E179CC"/>
    <w:rsid w:val="00E35AB3"/>
    <w:rsid w:val="00E83E43"/>
    <w:rsid w:val="00E90971"/>
    <w:rsid w:val="00E910C8"/>
    <w:rsid w:val="00ED60A9"/>
    <w:rsid w:val="00F45467"/>
    <w:rsid w:val="00F8500F"/>
    <w:rsid w:val="00FA0F23"/>
    <w:rsid w:val="00F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FFC7"/>
  <w15:docId w15:val="{B00943A3-91FD-4586-9EDC-02A5E393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sid w:val="00C6679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67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6796"/>
    <w:rPr>
      <w:sz w:val="20"/>
      <w:szCs w:val="20"/>
    </w:rPr>
  </w:style>
  <w:style w:type="paragraph" w:styleId="Sansinterligne">
    <w:name w:val="No Spacing"/>
    <w:uiPriority w:val="1"/>
    <w:qFormat/>
    <w:rsid w:val="00C66796"/>
    <w:pPr>
      <w:spacing w:after="0" w:line="240" w:lineRule="auto"/>
    </w:pPr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F2A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A1010"/>
    <w:rPr>
      <w:color w:val="0563C1" w:themeColor="hyperlink"/>
      <w:u w:val="single"/>
    </w:rPr>
  </w:style>
  <w:style w:type="paragraph" w:customStyle="1" w:styleId="Default">
    <w:name w:val="Default"/>
    <w:rsid w:val="004A1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80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0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0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0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0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85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57724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309B3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D40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7297">
                  <w:marLeft w:val="2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9910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9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2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accination-info-service.fr/Les-maladies-et-leurs-vaccins/COVID-19" TargetMode="External"/><Relationship Id="rId18" Type="http://schemas.openxmlformats.org/officeDocument/2006/relationships/hyperlink" Target="https://twitter.com/SantePubliqueFr" TargetMode="External"/><Relationship Id="rId26" Type="http://schemas.openxmlformats.org/officeDocument/2006/relationships/hyperlink" Target="https://www.instagram.com/santepubliquefrance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www.santepubliquefrance.fr/maladies-et-traumatismes/maladies-et-infections-respiratoires/infection-a-coronavirus/documents/bulletin-national/covid-19-point-epidemiologique-du-6-mai-2021" TargetMode="External"/><Relationship Id="rId17" Type="http://schemas.openxmlformats.org/officeDocument/2006/relationships/hyperlink" Target="mailto:presse@santepubliquefrance.fr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presse-dgs@sante.gouv.fr" TargetMode="External"/><Relationship Id="rId20" Type="http://schemas.openxmlformats.org/officeDocument/2006/relationships/hyperlink" Target="https://fr.linkedin.com/company/sante-publique-franc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tepubliquefrance.fr/etudes-et-enquetes/coviprev-une-enquete-pour-suivre-l-evolution-des-comportements-et-de-la-sante-mentale-pendant-l-epidemie-de-covid-19" TargetMode="External"/><Relationship Id="rId24" Type="http://schemas.openxmlformats.org/officeDocument/2006/relationships/hyperlink" Target="https://www.youtube.com/c/Sant%C3%A9publiqueFr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ntepubliquefrance.fr/dossiers/coronavirus-covid-19/vaccination-contre-la-covid-19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twitter.com/SantePubliqueFr" TargetMode="External"/><Relationship Id="rId10" Type="http://schemas.openxmlformats.org/officeDocument/2006/relationships/hyperlink" Target="https://solidarites-sante.gouv.fr/prevention-en-sante/preserver-sa-sante/vaccination/calendrier-vaccinal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vaccination-info-service.fr/Les-maladies-et-leurs-vaccins/COVID-19" TargetMode="External"/><Relationship Id="rId22" Type="http://schemas.openxmlformats.org/officeDocument/2006/relationships/hyperlink" Target="https://www.facebook.com/santepubliquefrance/" TargetMode="External"/><Relationship Id="rId27" Type="http://schemas.openxmlformats.org/officeDocument/2006/relationships/image" Target="media/image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DF8F9-C98B-4DCF-8A04-26C6A1BA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1306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ANSP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DELIBEROS Marie</dc:creator>
  <cp:lastModifiedBy>DAVANZO, Ester</cp:lastModifiedBy>
  <cp:revision>2</cp:revision>
  <dcterms:created xsi:type="dcterms:W3CDTF">2021-05-18T15:11:00Z</dcterms:created>
  <dcterms:modified xsi:type="dcterms:W3CDTF">2021-05-18T15:11:00Z</dcterms:modified>
</cp:coreProperties>
</file>