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DC71EC">
      <w:pPr>
        <w:spacing w:after="0" w:line="259" w:lineRule="auto"/>
        <w:ind w:left="0" w:firstLine="0"/>
        <w:jc w:val="right"/>
      </w:pPr>
      <w:r>
        <w:t>Paris, le 24</w:t>
      </w:r>
      <w:r w:rsidR="00702284">
        <w:t xml:space="preserve"> </w:t>
      </w:r>
      <w:r w:rsidR="00756583">
        <w:t xml:space="preserve">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28115A">
      <w:pPr>
        <w:pStyle w:val="Titre1"/>
        <w:ind w:right="57"/>
      </w:pPr>
      <w:r>
        <w:t>Au 2</w:t>
      </w:r>
      <w:r w:rsidR="00DC71EC">
        <w:t>4</w:t>
      </w:r>
      <w:r w:rsidR="00AA4497">
        <w:t xml:space="preserve"> mai </w:t>
      </w:r>
      <w:r w:rsidR="00AA4497" w:rsidRPr="00376207">
        <w:t>2021</w:t>
      </w:r>
      <w:r w:rsidR="00AA4497" w:rsidRPr="0048107C">
        <w:t xml:space="preserve">, </w:t>
      </w:r>
      <w:r w:rsidR="00D0399C" w:rsidRPr="00D0399C">
        <w:t>plus</w:t>
      </w:r>
      <w:r w:rsidR="00702284" w:rsidRPr="00D0399C">
        <w:t xml:space="preserve"> de </w:t>
      </w:r>
      <w:r w:rsidR="00D0399C" w:rsidRPr="00D0399C">
        <w:t>33</w:t>
      </w:r>
      <w:r w:rsidR="00702284" w:rsidRPr="00D0399C">
        <w:t> </w:t>
      </w:r>
      <w:r w:rsidR="00D0399C" w:rsidRPr="00D0399C">
        <w:t>000</w:t>
      </w:r>
      <w:r w:rsidR="008B505B" w:rsidRPr="00D0399C">
        <w:t xml:space="preserve"> 0</w:t>
      </w:r>
      <w:r w:rsidR="00702284" w:rsidRPr="00D0399C">
        <w:t>0</w:t>
      </w:r>
      <w:r w:rsidR="0048107C" w:rsidRPr="00D0399C">
        <w:t>0</w:t>
      </w:r>
      <w:r w:rsidR="00376207" w:rsidRPr="00376207">
        <w:t xml:space="preserve"> </w:t>
      </w:r>
      <w:r w:rsidR="003E5FCF">
        <w:t>d’</w:t>
      </w:r>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Depuis le début de la campagne de vaccination en France,</w:t>
      </w:r>
      <w:r w:rsidR="00C36DEC">
        <w:t xml:space="preserve"> </w:t>
      </w:r>
      <w:r w:rsidR="000521CD" w:rsidRPr="000521CD">
        <w:rPr>
          <w:color w:val="000000" w:themeColor="text1"/>
        </w:rPr>
        <w:t>23 335 997</w:t>
      </w:r>
      <w:r w:rsidR="00C36DEC">
        <w:t xml:space="preserve"> </w:t>
      </w:r>
      <w:r w:rsidRPr="00634F89">
        <w:t>personnes ont reçu a</w:t>
      </w:r>
      <w:r w:rsidR="00AA4497" w:rsidRPr="00634F89">
        <w:t xml:space="preserve">u moins une injection </w:t>
      </w:r>
      <w:r w:rsidR="00AA4497" w:rsidRPr="00376207">
        <w:t>(</w:t>
      </w:r>
      <w:r w:rsidR="00AA4497" w:rsidRPr="00D0399C">
        <w:t xml:space="preserve">soit </w:t>
      </w:r>
      <w:r w:rsidR="00D0399C" w:rsidRPr="00D0399C">
        <w:t>34,8</w:t>
      </w:r>
      <w:r w:rsidRPr="00D0399C">
        <w:t>%</w:t>
      </w:r>
      <w:r w:rsidR="00AA4497" w:rsidRPr="00D0399C">
        <w:t xml:space="preserve"> de la population totale et </w:t>
      </w:r>
      <w:r w:rsidR="00D0399C" w:rsidRPr="00D0399C">
        <w:t>44,4</w:t>
      </w:r>
      <w:r w:rsidRPr="00D0399C">
        <w:t xml:space="preserve">% de la population majeure) et </w:t>
      </w:r>
      <w:r w:rsidR="000521CD" w:rsidRPr="00D0399C">
        <w:rPr>
          <w:color w:val="000000" w:themeColor="text1"/>
        </w:rPr>
        <w:t xml:space="preserve">9 738 741 </w:t>
      </w:r>
      <w:r w:rsidRPr="00D0399C">
        <w:t>personnes ont</w:t>
      </w:r>
      <w:r w:rsidR="00AA4497" w:rsidRPr="00D0399C">
        <w:t xml:space="preserve"> reçu deux injections (</w:t>
      </w:r>
      <w:r w:rsidR="00C36DEC" w:rsidRPr="00D0399C">
        <w:t>soit 14,5</w:t>
      </w:r>
      <w:r w:rsidRPr="00D0399C">
        <w:t>%</w:t>
      </w:r>
      <w:r w:rsidR="00AA4497" w:rsidRPr="00D0399C">
        <w:t xml:space="preserve"> de la population totale et </w:t>
      </w:r>
      <w:r w:rsidR="00C36DEC" w:rsidRPr="00D0399C">
        <w:t>18,5</w:t>
      </w:r>
      <w:r w:rsidRPr="00D0399C">
        <w:t>%</w:t>
      </w:r>
      <w:r w:rsidRPr="00B83757">
        <w:t xml:space="preserve">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D0399C" w:rsidTr="00AE2944">
        <w:trPr>
          <w:trHeight w:val="278"/>
        </w:trPr>
        <w:tc>
          <w:tcPr>
            <w:tcW w:w="1838" w:type="dxa"/>
            <w:tcBorders>
              <w:top w:val="single" w:sz="4" w:space="0" w:color="000000"/>
              <w:left w:val="single" w:sz="4" w:space="0" w:color="000000"/>
              <w:bottom w:val="single" w:sz="4" w:space="0" w:color="000000"/>
              <w:right w:val="single" w:sz="4" w:space="0" w:color="000000"/>
            </w:tcBorders>
          </w:tcPr>
          <w:p w:rsidR="00D0399C" w:rsidRDefault="00D0399C" w:rsidP="00D0399C">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D0399C" w:rsidRPr="000521CD" w:rsidRDefault="00D0399C" w:rsidP="00D0399C">
            <w:pPr>
              <w:jc w:val="right"/>
              <w:rPr>
                <w:rFonts w:eastAsiaTheme="minorHAnsi"/>
                <w:color w:val="000000" w:themeColor="text1"/>
              </w:rPr>
            </w:pPr>
            <w:r w:rsidRPr="000521CD">
              <w:rPr>
                <w:color w:val="000000" w:themeColor="text1"/>
              </w:rPr>
              <w:t>254 723</w:t>
            </w:r>
          </w:p>
        </w:tc>
        <w:tc>
          <w:tcPr>
            <w:tcW w:w="2410" w:type="dxa"/>
            <w:tcBorders>
              <w:top w:val="single" w:sz="4" w:space="0" w:color="000000"/>
              <w:left w:val="single" w:sz="4" w:space="0" w:color="000000"/>
              <w:bottom w:val="single" w:sz="4" w:space="0" w:color="000000"/>
              <w:right w:val="single" w:sz="4" w:space="0" w:color="000000"/>
            </w:tcBorders>
            <w:vAlign w:val="bottom"/>
          </w:tcPr>
          <w:p w:rsidR="00D0399C" w:rsidRPr="00D0399C" w:rsidRDefault="00D0399C" w:rsidP="00D0399C">
            <w:pPr>
              <w:jc w:val="right"/>
              <w:rPr>
                <w:color w:val="000000" w:themeColor="text1"/>
              </w:rPr>
            </w:pPr>
            <w:r w:rsidRPr="00D0399C">
              <w:rPr>
                <w:color w:val="000000" w:themeColor="text1"/>
              </w:rPr>
              <w:t>7 710 854</w:t>
            </w:r>
          </w:p>
        </w:tc>
        <w:tc>
          <w:tcPr>
            <w:tcW w:w="2408" w:type="dxa"/>
            <w:tcBorders>
              <w:top w:val="single" w:sz="4" w:space="0" w:color="000000"/>
              <w:left w:val="single" w:sz="4" w:space="0" w:color="000000"/>
              <w:bottom w:val="single" w:sz="4" w:space="0" w:color="000000"/>
              <w:right w:val="single" w:sz="4" w:space="0" w:color="000000"/>
            </w:tcBorders>
            <w:vAlign w:val="center"/>
          </w:tcPr>
          <w:p w:rsidR="00D0399C" w:rsidRPr="000521CD" w:rsidRDefault="00D0399C" w:rsidP="00D0399C">
            <w:pPr>
              <w:jc w:val="right"/>
              <w:rPr>
                <w:rFonts w:eastAsiaTheme="minorHAnsi"/>
                <w:color w:val="000000" w:themeColor="text1"/>
              </w:rPr>
            </w:pPr>
            <w:r w:rsidRPr="000521CD">
              <w:rPr>
                <w:color w:val="000000" w:themeColor="text1"/>
              </w:rPr>
              <w:t>23 335 997</w:t>
            </w:r>
          </w:p>
        </w:tc>
      </w:tr>
      <w:tr w:rsidR="00D0399C" w:rsidTr="00AE2944">
        <w:trPr>
          <w:trHeight w:val="278"/>
        </w:trPr>
        <w:tc>
          <w:tcPr>
            <w:tcW w:w="1838" w:type="dxa"/>
            <w:tcBorders>
              <w:top w:val="single" w:sz="4" w:space="0" w:color="000000"/>
              <w:left w:val="single" w:sz="4" w:space="0" w:color="000000"/>
              <w:bottom w:val="single" w:sz="4" w:space="0" w:color="000000"/>
              <w:right w:val="single" w:sz="4" w:space="0" w:color="000000"/>
            </w:tcBorders>
          </w:tcPr>
          <w:p w:rsidR="00D0399C" w:rsidRDefault="00D0399C" w:rsidP="00D0399C">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D0399C" w:rsidRPr="000521CD" w:rsidRDefault="00D0399C" w:rsidP="00D0399C">
            <w:pPr>
              <w:jc w:val="right"/>
              <w:rPr>
                <w:color w:val="000000" w:themeColor="text1"/>
              </w:rPr>
            </w:pPr>
            <w:r w:rsidRPr="000521CD">
              <w:rPr>
                <w:color w:val="000000" w:themeColor="text1"/>
              </w:rPr>
              <w:t>32 408</w:t>
            </w:r>
          </w:p>
        </w:tc>
        <w:tc>
          <w:tcPr>
            <w:tcW w:w="2410" w:type="dxa"/>
            <w:tcBorders>
              <w:top w:val="single" w:sz="4" w:space="0" w:color="000000"/>
              <w:left w:val="single" w:sz="4" w:space="0" w:color="000000"/>
              <w:bottom w:val="single" w:sz="4" w:space="0" w:color="000000"/>
              <w:right w:val="single" w:sz="4" w:space="0" w:color="000000"/>
            </w:tcBorders>
            <w:vAlign w:val="bottom"/>
          </w:tcPr>
          <w:p w:rsidR="00D0399C" w:rsidRPr="00D0399C" w:rsidRDefault="00D0399C" w:rsidP="00D0399C">
            <w:pPr>
              <w:jc w:val="right"/>
              <w:rPr>
                <w:color w:val="000000" w:themeColor="text1"/>
              </w:rPr>
            </w:pPr>
            <w:r w:rsidRPr="00D0399C">
              <w:rPr>
                <w:color w:val="000000" w:themeColor="text1"/>
              </w:rPr>
              <w:t>3 326 899</w:t>
            </w:r>
          </w:p>
        </w:tc>
        <w:tc>
          <w:tcPr>
            <w:tcW w:w="2408" w:type="dxa"/>
            <w:tcBorders>
              <w:top w:val="single" w:sz="4" w:space="0" w:color="000000"/>
              <w:left w:val="single" w:sz="4" w:space="0" w:color="000000"/>
              <w:bottom w:val="single" w:sz="4" w:space="0" w:color="000000"/>
              <w:right w:val="single" w:sz="4" w:space="0" w:color="000000"/>
            </w:tcBorders>
            <w:vAlign w:val="center"/>
          </w:tcPr>
          <w:p w:rsidR="00D0399C" w:rsidRPr="000521CD" w:rsidRDefault="00D0399C" w:rsidP="00D0399C">
            <w:pPr>
              <w:jc w:val="right"/>
              <w:rPr>
                <w:color w:val="000000" w:themeColor="text1"/>
              </w:rPr>
            </w:pPr>
            <w:r w:rsidRPr="000521CD">
              <w:rPr>
                <w:color w:val="000000" w:themeColor="text1"/>
              </w:rPr>
              <w:t>9 738 741</w:t>
            </w:r>
          </w:p>
        </w:tc>
      </w:tr>
      <w:tr w:rsidR="00D0399C" w:rsidTr="00AE2944">
        <w:trPr>
          <w:trHeight w:val="278"/>
        </w:trPr>
        <w:tc>
          <w:tcPr>
            <w:tcW w:w="1838" w:type="dxa"/>
            <w:tcBorders>
              <w:top w:val="single" w:sz="4" w:space="0" w:color="000000"/>
              <w:left w:val="single" w:sz="4" w:space="0" w:color="000000"/>
              <w:bottom w:val="single" w:sz="4" w:space="0" w:color="000000"/>
              <w:right w:val="single" w:sz="4" w:space="0" w:color="000000"/>
            </w:tcBorders>
          </w:tcPr>
          <w:p w:rsidR="00D0399C" w:rsidRDefault="00D0399C" w:rsidP="00D0399C">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D0399C" w:rsidRPr="000521CD" w:rsidRDefault="00D0399C" w:rsidP="00D0399C">
            <w:pPr>
              <w:jc w:val="right"/>
              <w:rPr>
                <w:b/>
                <w:bCs/>
                <w:color w:val="000000" w:themeColor="text1"/>
              </w:rPr>
            </w:pPr>
            <w:r w:rsidRPr="000521CD">
              <w:rPr>
                <w:b/>
                <w:bCs/>
                <w:color w:val="000000" w:themeColor="text1"/>
              </w:rPr>
              <w:t>287 131</w:t>
            </w:r>
          </w:p>
        </w:tc>
        <w:tc>
          <w:tcPr>
            <w:tcW w:w="2410" w:type="dxa"/>
            <w:tcBorders>
              <w:top w:val="single" w:sz="4" w:space="0" w:color="000000"/>
              <w:left w:val="single" w:sz="4" w:space="0" w:color="000000"/>
              <w:bottom w:val="single" w:sz="4" w:space="0" w:color="000000"/>
              <w:right w:val="single" w:sz="4" w:space="0" w:color="000000"/>
            </w:tcBorders>
            <w:vAlign w:val="bottom"/>
          </w:tcPr>
          <w:p w:rsidR="00D0399C" w:rsidRPr="00D0399C" w:rsidRDefault="00D0399C" w:rsidP="00D0399C">
            <w:pPr>
              <w:jc w:val="right"/>
              <w:rPr>
                <w:b/>
                <w:bCs/>
                <w:color w:val="000000" w:themeColor="text1"/>
              </w:rPr>
            </w:pPr>
            <w:r w:rsidRPr="00D0399C">
              <w:rPr>
                <w:b/>
                <w:bCs/>
                <w:color w:val="000000" w:themeColor="text1"/>
              </w:rPr>
              <w:t>11 037 753</w:t>
            </w:r>
          </w:p>
        </w:tc>
        <w:tc>
          <w:tcPr>
            <w:tcW w:w="2408" w:type="dxa"/>
            <w:tcBorders>
              <w:top w:val="single" w:sz="4" w:space="0" w:color="000000"/>
              <w:left w:val="single" w:sz="4" w:space="0" w:color="000000"/>
              <w:bottom w:val="single" w:sz="4" w:space="0" w:color="000000"/>
              <w:right w:val="single" w:sz="4" w:space="0" w:color="000000"/>
            </w:tcBorders>
            <w:vAlign w:val="center"/>
          </w:tcPr>
          <w:p w:rsidR="00D0399C" w:rsidRPr="000521CD" w:rsidRDefault="00D0399C" w:rsidP="00D0399C">
            <w:pPr>
              <w:jc w:val="right"/>
              <w:rPr>
                <w:b/>
                <w:bCs/>
                <w:color w:val="000000" w:themeColor="text1"/>
              </w:rPr>
            </w:pPr>
            <w:r w:rsidRPr="000521CD">
              <w:rPr>
                <w:b/>
                <w:bCs/>
                <w:color w:val="000000" w:themeColor="text1"/>
              </w:rPr>
              <w:t>33 074 738</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w:t>
      </w:r>
      <w:r w:rsidR="008A3CF5">
        <w:rPr>
          <w:sz w:val="21"/>
          <w:szCs w:val="21"/>
        </w:rPr>
        <w:t>professionnels ci-dessous (~23,6</w:t>
      </w:r>
      <w:r w:rsidRPr="00670EFE">
        <w:rPr>
          <w:sz w:val="21"/>
          <w:szCs w:val="21"/>
        </w:rPr>
        <w:t xml:space="preserve">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Default="00C732C7" w:rsidP="00C732C7">
      <w:pPr>
        <w:numPr>
          <w:ilvl w:val="1"/>
          <w:numId w:val="3"/>
        </w:numPr>
        <w:spacing w:line="252" w:lineRule="auto"/>
        <w:ind w:right="187"/>
        <w:rPr>
          <w:sz w:val="21"/>
          <w:szCs w:val="21"/>
        </w:rPr>
      </w:pPr>
      <w:r w:rsidRPr="00670EFE">
        <w:rPr>
          <w:sz w:val="21"/>
          <w:szCs w:val="21"/>
        </w:rPr>
        <w:lastRenderedPageBreak/>
        <w:t>Les proches à partir de 16 ans (à savoir les personnes vivant sous le même toit ou apportant une aide dans la vie quotidienne) de personnes, adulte ou enfant, immunodéprimé</w:t>
      </w:r>
      <w:r w:rsidR="00B71D4E">
        <w:rPr>
          <w:sz w:val="21"/>
          <w:szCs w:val="21"/>
        </w:rPr>
        <w:t xml:space="preserve">es (~0,7 million de personnes) ; </w:t>
      </w:r>
    </w:p>
    <w:p w:rsidR="00B71D4E" w:rsidRPr="00670EFE" w:rsidRDefault="00B71D4E" w:rsidP="00C732C7">
      <w:pPr>
        <w:numPr>
          <w:ilvl w:val="1"/>
          <w:numId w:val="3"/>
        </w:numPr>
        <w:spacing w:line="252" w:lineRule="auto"/>
        <w:ind w:right="187"/>
        <w:rPr>
          <w:sz w:val="21"/>
          <w:szCs w:val="21"/>
        </w:rPr>
      </w:pPr>
      <w:r>
        <w:rPr>
          <w:sz w:val="21"/>
          <w:szCs w:val="21"/>
        </w:rPr>
        <w:t>Les professions les plus exposées au virus</w:t>
      </w:r>
      <w:r w:rsidR="007C2E3F" w:rsidRPr="00670EFE">
        <w:rPr>
          <w:sz w:val="21"/>
          <w:szCs w:val="21"/>
        </w:rPr>
        <w:t>*</w:t>
      </w:r>
      <w:r>
        <w:rPr>
          <w:sz w:val="21"/>
          <w:szCs w:val="21"/>
        </w:rPr>
        <w:t xml:space="preserve"> (</w:t>
      </w:r>
      <w:r w:rsidRPr="00670EFE">
        <w:rPr>
          <w:sz w:val="21"/>
          <w:szCs w:val="21"/>
        </w:rPr>
        <w:t>~</w:t>
      </w:r>
      <w:r w:rsidR="008A3CF5">
        <w:rPr>
          <w:sz w:val="21"/>
          <w:szCs w:val="21"/>
        </w:rPr>
        <w:t>6,3</w:t>
      </w:r>
      <w:r>
        <w:rPr>
          <w:sz w:val="21"/>
          <w:szCs w:val="21"/>
        </w:rPr>
        <w:t xml:space="preserve"> millions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listes disponibles sur</w:t>
      </w:r>
      <w:r w:rsidR="00B71D4E">
        <w:rPr>
          <w:i/>
          <w:sz w:val="21"/>
          <w:szCs w:val="21"/>
        </w:rPr>
        <w:t xml:space="preserve"> </w:t>
      </w:r>
      <w:hyperlink r:id="rId9" w:anchor="liste-prio" w:history="1">
        <w:r w:rsidR="00B71D4E" w:rsidRPr="00B71D4E">
          <w:rPr>
            <w:rStyle w:val="Lienhypertexte"/>
            <w:i/>
            <w:sz w:val="21"/>
            <w:szCs w:val="21"/>
          </w:rPr>
          <w:t>solidarites-sante.gouv.fr/grands-dossiers/vaccin-covid-19/publics-prioritaires-vaccin-covid-19#liste-prio</w:t>
        </w:r>
      </w:hyperlink>
      <w:r w:rsidR="00B71D4E" w:rsidRPr="00B71D4E">
        <w:rPr>
          <w:i/>
          <w:sz w:val="21"/>
          <w:szCs w:val="21"/>
        </w:rPr>
        <w:t xml:space="preserve"> </w:t>
      </w:r>
      <w:r w:rsidR="0082563E" w:rsidRPr="00B71D4E">
        <w:rPr>
          <w:i/>
          <w:sz w:val="21"/>
          <w:szCs w:val="21"/>
        </w:rPr>
        <w:t xml:space="preserve"> </w:t>
      </w:r>
      <w:r w:rsidRPr="00B71D4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coupe-file dédié : depuis le 31/03, ce numéro est indiqué dans un SMS envoyé par l’Assurance maladie aux personnes de 75 ans et plus non vaccinées. </w:t>
      </w:r>
    </w:p>
    <w:p w:rsidR="00427386" w:rsidRPr="00670EFE" w:rsidRDefault="00756583" w:rsidP="00FA319D">
      <w:pPr>
        <w:spacing w:after="0" w:line="259" w:lineRule="auto"/>
        <w:ind w:left="195" w:right="0" w:firstLine="0"/>
        <w:jc w:val="left"/>
        <w:rPr>
          <w:sz w:val="21"/>
          <w:szCs w:val="21"/>
        </w:rPr>
      </w:pPr>
      <w:r w:rsidRPr="00670EFE">
        <w:rPr>
          <w:sz w:val="21"/>
          <w:szCs w:val="21"/>
        </w:rPr>
        <w:t xml:space="preserve"> </w:t>
      </w:r>
    </w:p>
    <w:p w:rsidR="000C7A4A" w:rsidRPr="00670EFE" w:rsidRDefault="000758A8" w:rsidP="000C7A4A">
      <w:pPr>
        <w:ind w:left="195" w:right="187" w:firstLine="0"/>
        <w:rPr>
          <w:sz w:val="21"/>
          <w:szCs w:val="21"/>
        </w:rPr>
      </w:pPr>
      <w:r w:rsidRPr="00670EFE">
        <w:rPr>
          <w:sz w:val="21"/>
          <w:szCs w:val="21"/>
        </w:rPr>
        <w:t>Sur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Default="00FA319D" w:rsidP="000C7A4A">
      <w:pPr>
        <w:ind w:left="195" w:right="187" w:firstLine="0"/>
        <w:rPr>
          <w:sz w:val="21"/>
          <w:szCs w:val="21"/>
        </w:rPr>
      </w:pPr>
      <w:r>
        <w:rPr>
          <w:sz w:val="21"/>
          <w:szCs w:val="21"/>
        </w:rPr>
        <w:t>Par ailleurs, i</w:t>
      </w:r>
      <w:r w:rsidR="000C7A4A" w:rsidRPr="00670EFE">
        <w:rPr>
          <w:sz w:val="21"/>
          <w:szCs w:val="21"/>
        </w:rPr>
        <w:t xml:space="preserve">l est possible </w:t>
      </w:r>
      <w:r w:rsidR="006E2025" w:rsidRPr="00670EFE">
        <w:rPr>
          <w:sz w:val="21"/>
          <w:szCs w:val="21"/>
        </w:rPr>
        <w:t>depuis le 11 mai</w:t>
      </w:r>
      <w:r w:rsidR="000C7A4A"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A319D" w:rsidRDefault="00FA319D" w:rsidP="000C7A4A">
      <w:pPr>
        <w:ind w:left="195" w:right="187" w:firstLine="0"/>
        <w:rPr>
          <w:sz w:val="21"/>
          <w:szCs w:val="21"/>
        </w:rPr>
      </w:pPr>
    </w:p>
    <w:p w:rsidR="00FA319D" w:rsidRPr="00FA319D" w:rsidRDefault="003E5FCF" w:rsidP="00FA319D">
      <w:pPr>
        <w:ind w:left="195" w:right="187" w:firstLine="0"/>
        <w:rPr>
          <w:sz w:val="21"/>
          <w:szCs w:val="21"/>
        </w:rPr>
      </w:pPr>
      <w:r w:rsidRPr="0083168C">
        <w:rPr>
          <w:sz w:val="21"/>
          <w:szCs w:val="21"/>
        </w:rPr>
        <w:t>La</w:t>
      </w:r>
      <w:r w:rsidR="00FA319D" w:rsidRPr="0083168C">
        <w:rPr>
          <w:sz w:val="21"/>
          <w:szCs w:val="21"/>
        </w:rPr>
        <w:t xml:space="preserve"> vaccination </w:t>
      </w:r>
      <w:r w:rsidRPr="0083168C">
        <w:rPr>
          <w:sz w:val="21"/>
          <w:szCs w:val="21"/>
        </w:rPr>
        <w:t xml:space="preserve">sera ouverte </w:t>
      </w:r>
      <w:r w:rsidR="00FA319D" w:rsidRPr="0083168C">
        <w:rPr>
          <w:sz w:val="21"/>
          <w:szCs w:val="21"/>
        </w:rPr>
        <w:t xml:space="preserve">à tous les Français de plus de 18 ans </w:t>
      </w:r>
      <w:r w:rsidRPr="0083168C">
        <w:rPr>
          <w:sz w:val="21"/>
          <w:szCs w:val="21"/>
        </w:rPr>
        <w:t xml:space="preserve">à partir </w:t>
      </w:r>
      <w:r w:rsidR="0083168C" w:rsidRPr="0083168C">
        <w:rPr>
          <w:sz w:val="21"/>
          <w:szCs w:val="21"/>
        </w:rPr>
        <w:t>du 31</w:t>
      </w:r>
      <w:r w:rsidR="00FA319D" w:rsidRPr="0083168C">
        <w:rPr>
          <w:sz w:val="21"/>
          <w:szCs w:val="21"/>
        </w:rPr>
        <w:t xml:space="preserve"> mai. Cette ouverture sans critère d’âge est anticipée pour les professionnels considérés comme plus exposés au virus du fait de leur activité : depuis le 21 mai, ceux-ci peuvent </w:t>
      </w:r>
      <w:r w:rsidRPr="0083168C">
        <w:rPr>
          <w:sz w:val="21"/>
          <w:szCs w:val="21"/>
        </w:rPr>
        <w:t xml:space="preserve">ainsi </w:t>
      </w:r>
      <w:r w:rsidR="00FA319D" w:rsidRPr="0083168C">
        <w:rPr>
          <w:sz w:val="21"/>
          <w:szCs w:val="21"/>
        </w:rPr>
        <w:t xml:space="preserve">réserver un créneau de vaccination sur santé.fr ou </w:t>
      </w:r>
      <w:r w:rsidRPr="0083168C">
        <w:rPr>
          <w:sz w:val="21"/>
          <w:szCs w:val="21"/>
        </w:rPr>
        <w:t xml:space="preserve">sur </w:t>
      </w:r>
      <w:r w:rsidR="00FA319D" w:rsidRPr="0083168C">
        <w:rPr>
          <w:sz w:val="21"/>
          <w:szCs w:val="21"/>
        </w:rPr>
        <w:t>les sites de prise de rendez-vous en ligne, pour des injections qui ont démarré aujourd’hui.</w:t>
      </w:r>
      <w:bookmarkStart w:id="0" w:name="_GoBack"/>
      <w:bookmarkEnd w:id="0"/>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2"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1E6CEA" w:rsidP="00682596">
      <w:pPr>
        <w:pStyle w:val="Sansinterligne"/>
      </w:pPr>
      <w:r>
        <w:rPr>
          <w:noProof/>
        </w:rPr>
        <w:lastRenderedPageBreak/>
        <w:drawing>
          <wp:inline distT="0" distB="0" distL="0" distR="0">
            <wp:extent cx="6011545" cy="939292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g public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1E6CEA" w:rsidP="00682596">
      <w:pPr>
        <w:pStyle w:val="Sansinterligne"/>
      </w:pPr>
      <w:r>
        <w:rPr>
          <w:noProof/>
        </w:rPr>
        <w:lastRenderedPageBreak/>
        <w:drawing>
          <wp:inline distT="0" distB="0" distL="0" distR="0">
            <wp:extent cx="6011545" cy="499681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4996815"/>
                    </a:xfrm>
                    <a:prstGeom prst="rect">
                      <a:avLst/>
                    </a:prstGeom>
                  </pic:spPr>
                </pic:pic>
              </a:graphicData>
            </a:graphic>
          </wp:inline>
        </w:drawing>
      </w:r>
    </w:p>
    <w:p w:rsidR="0082563E" w:rsidRDefault="0082563E" w:rsidP="0082563E">
      <w:pPr>
        <w:spacing w:after="0" w:line="259" w:lineRule="auto"/>
        <w:ind w:left="1017" w:right="0" w:firstLine="0"/>
      </w:pPr>
    </w:p>
    <w:p w:rsidR="001E6CEA" w:rsidRDefault="001E6CEA"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AD" w:rsidRDefault="00A832AD">
      <w:pPr>
        <w:spacing w:after="0" w:line="240" w:lineRule="auto"/>
      </w:pPr>
      <w:r>
        <w:separator/>
      </w:r>
    </w:p>
  </w:endnote>
  <w:endnote w:type="continuationSeparator" w:id="0">
    <w:p w:rsidR="00A832AD" w:rsidRDefault="00A8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AD" w:rsidRDefault="00A832AD">
      <w:pPr>
        <w:spacing w:after="185" w:line="259" w:lineRule="auto"/>
        <w:ind w:left="195" w:right="0" w:firstLine="0"/>
        <w:jc w:val="left"/>
      </w:pPr>
      <w:r>
        <w:separator/>
      </w:r>
    </w:p>
  </w:footnote>
  <w:footnote w:type="continuationSeparator" w:id="0">
    <w:p w:rsidR="00A832AD" w:rsidRDefault="00A832AD">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521CD"/>
    <w:rsid w:val="000758A8"/>
    <w:rsid w:val="000C1B4D"/>
    <w:rsid w:val="000C5A18"/>
    <w:rsid w:val="000C7A4A"/>
    <w:rsid w:val="00104566"/>
    <w:rsid w:val="00105C34"/>
    <w:rsid w:val="00136428"/>
    <w:rsid w:val="001375CB"/>
    <w:rsid w:val="00151226"/>
    <w:rsid w:val="00151846"/>
    <w:rsid w:val="001616E6"/>
    <w:rsid w:val="001637F9"/>
    <w:rsid w:val="001A10B5"/>
    <w:rsid w:val="001B0E5E"/>
    <w:rsid w:val="001B1700"/>
    <w:rsid w:val="001D597C"/>
    <w:rsid w:val="001E6CEA"/>
    <w:rsid w:val="00214381"/>
    <w:rsid w:val="00253CFE"/>
    <w:rsid w:val="002716F5"/>
    <w:rsid w:val="0028115A"/>
    <w:rsid w:val="002A7C73"/>
    <w:rsid w:val="002C1B9B"/>
    <w:rsid w:val="003358B6"/>
    <w:rsid w:val="003617A8"/>
    <w:rsid w:val="003743E1"/>
    <w:rsid w:val="00376207"/>
    <w:rsid w:val="003E5FCF"/>
    <w:rsid w:val="003F55E7"/>
    <w:rsid w:val="00427386"/>
    <w:rsid w:val="00433598"/>
    <w:rsid w:val="00441963"/>
    <w:rsid w:val="004636C1"/>
    <w:rsid w:val="0048107C"/>
    <w:rsid w:val="00572975"/>
    <w:rsid w:val="005D5D5C"/>
    <w:rsid w:val="005E6523"/>
    <w:rsid w:val="00601F75"/>
    <w:rsid w:val="0061389C"/>
    <w:rsid w:val="00634F89"/>
    <w:rsid w:val="006362CA"/>
    <w:rsid w:val="00670EFE"/>
    <w:rsid w:val="00682596"/>
    <w:rsid w:val="006E2025"/>
    <w:rsid w:val="006F5DAD"/>
    <w:rsid w:val="00702284"/>
    <w:rsid w:val="00716EB6"/>
    <w:rsid w:val="00721E59"/>
    <w:rsid w:val="0073233E"/>
    <w:rsid w:val="0073301B"/>
    <w:rsid w:val="00737FDF"/>
    <w:rsid w:val="00756583"/>
    <w:rsid w:val="00771844"/>
    <w:rsid w:val="007A00FF"/>
    <w:rsid w:val="007C2E3F"/>
    <w:rsid w:val="00810215"/>
    <w:rsid w:val="00822D24"/>
    <w:rsid w:val="0082563E"/>
    <w:rsid w:val="0083168C"/>
    <w:rsid w:val="0087605F"/>
    <w:rsid w:val="00876E32"/>
    <w:rsid w:val="0089307D"/>
    <w:rsid w:val="008A3CF5"/>
    <w:rsid w:val="008B505B"/>
    <w:rsid w:val="00942312"/>
    <w:rsid w:val="00962241"/>
    <w:rsid w:val="00964E7D"/>
    <w:rsid w:val="00972BA6"/>
    <w:rsid w:val="00980F3C"/>
    <w:rsid w:val="009D4094"/>
    <w:rsid w:val="009E7076"/>
    <w:rsid w:val="00A21C24"/>
    <w:rsid w:val="00A832AD"/>
    <w:rsid w:val="00A8685D"/>
    <w:rsid w:val="00A95D0D"/>
    <w:rsid w:val="00AA4497"/>
    <w:rsid w:val="00B44D93"/>
    <w:rsid w:val="00B67B7F"/>
    <w:rsid w:val="00B71D4E"/>
    <w:rsid w:val="00B83757"/>
    <w:rsid w:val="00BC2D38"/>
    <w:rsid w:val="00C030C0"/>
    <w:rsid w:val="00C069C8"/>
    <w:rsid w:val="00C36DEC"/>
    <w:rsid w:val="00C458B7"/>
    <w:rsid w:val="00C72055"/>
    <w:rsid w:val="00C732C7"/>
    <w:rsid w:val="00CA753C"/>
    <w:rsid w:val="00CE28BE"/>
    <w:rsid w:val="00CE6E93"/>
    <w:rsid w:val="00CF4F59"/>
    <w:rsid w:val="00D0399C"/>
    <w:rsid w:val="00D0490E"/>
    <w:rsid w:val="00D21B20"/>
    <w:rsid w:val="00D532CD"/>
    <w:rsid w:val="00D91B9A"/>
    <w:rsid w:val="00DC71EC"/>
    <w:rsid w:val="00EF3CA4"/>
    <w:rsid w:val="00EF4DEF"/>
    <w:rsid w:val="00F5635B"/>
    <w:rsid w:val="00F626C6"/>
    <w:rsid w:val="00FA3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803</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3</cp:revision>
  <cp:lastPrinted>2021-05-23T16:25:00Z</cp:lastPrinted>
  <dcterms:created xsi:type="dcterms:W3CDTF">2021-05-24T16:24:00Z</dcterms:created>
  <dcterms:modified xsi:type="dcterms:W3CDTF">2021-05-24T16:31:00Z</dcterms:modified>
</cp:coreProperties>
</file>