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498E" w14:textId="48E78D2B" w:rsidR="00BF3393" w:rsidRDefault="003252BF" w:rsidP="00C260BA">
      <w:pPr>
        <w:rPr>
          <w:rFonts w:ascii="Marianne" w:hAnsi="Marianne"/>
        </w:rPr>
      </w:pPr>
      <w:r>
        <w:rPr>
          <w:noProof/>
          <w:lang w:eastAsia="fr-FR"/>
        </w:rPr>
        <w:drawing>
          <wp:inline distT="0" distB="0" distL="0" distR="0" wp14:anchorId="56E1CA32" wp14:editId="32629BA0">
            <wp:extent cx="1821180" cy="18211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V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EFC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88293C0" wp14:editId="074EFE9E">
            <wp:simplePos x="0" y="0"/>
            <wp:positionH relativeFrom="margin">
              <wp:posOffset>4335145</wp:posOffset>
            </wp:positionH>
            <wp:positionV relativeFrom="margin">
              <wp:posOffset>229235</wp:posOffset>
            </wp:positionV>
            <wp:extent cx="1234440" cy="697230"/>
            <wp:effectExtent l="0" t="0" r="3810" b="7620"/>
            <wp:wrapSquare wrapText="bothSides"/>
            <wp:docPr id="2" name="Image 2" descr="313F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313F61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48D61" w14:textId="3C448024" w:rsidR="00CA7236" w:rsidRPr="00432929" w:rsidRDefault="00B84773" w:rsidP="004128DB">
      <w:pPr>
        <w:jc w:val="right"/>
        <w:rPr>
          <w:rFonts w:ascii="Marianne" w:hAnsi="Marianne"/>
          <w:sz w:val="16"/>
          <w:szCs w:val="16"/>
        </w:rPr>
      </w:pPr>
      <w:r w:rsidRPr="00432929">
        <w:rPr>
          <w:rFonts w:ascii="Marianne" w:hAnsi="Marianne"/>
          <w:sz w:val="16"/>
          <w:szCs w:val="16"/>
        </w:rPr>
        <w:t xml:space="preserve">Paris, le </w:t>
      </w:r>
      <w:r w:rsidR="00657169" w:rsidRPr="00432929">
        <w:rPr>
          <w:rFonts w:ascii="Marianne" w:hAnsi="Marianne"/>
          <w:sz w:val="16"/>
          <w:szCs w:val="16"/>
        </w:rPr>
        <w:t>30</w:t>
      </w:r>
      <w:r w:rsidRPr="00432929">
        <w:rPr>
          <w:rFonts w:ascii="Marianne" w:hAnsi="Marianne"/>
          <w:sz w:val="16"/>
          <w:szCs w:val="16"/>
        </w:rPr>
        <w:t xml:space="preserve"> mars</w:t>
      </w:r>
      <w:r w:rsidR="00CA7236" w:rsidRPr="00432929">
        <w:rPr>
          <w:rFonts w:ascii="Marianne" w:hAnsi="Marianne"/>
          <w:sz w:val="16"/>
          <w:szCs w:val="16"/>
        </w:rPr>
        <w:t xml:space="preserve"> 2022</w:t>
      </w:r>
    </w:p>
    <w:p w14:paraId="6D7500B4" w14:textId="1DDB7489" w:rsidR="007E2493" w:rsidRPr="00C81AD0" w:rsidRDefault="007E2493" w:rsidP="007E2493">
      <w:pPr>
        <w:autoSpaceDE w:val="0"/>
        <w:autoSpaceDN w:val="0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>Communiqué de presse</w:t>
      </w:r>
    </w:p>
    <w:p w14:paraId="3CA8DA33" w14:textId="1D08F81E" w:rsidR="007E2493" w:rsidRDefault="007E2493" w:rsidP="007E2493">
      <w:pPr>
        <w:autoSpaceDE w:val="0"/>
        <w:autoSpaceDN w:val="0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 xml:space="preserve">Cas graves de syndrome hémolytique et urémique (SHU) chez l’enfant : </w:t>
      </w:r>
      <w:r w:rsidR="006B5E6A">
        <w:rPr>
          <w:rFonts w:ascii="Marianne" w:hAnsi="Marianne"/>
          <w:b/>
          <w:bCs/>
          <w:sz w:val="24"/>
          <w:szCs w:val="24"/>
        </w:rPr>
        <w:t>de nouveaux cas signalés</w:t>
      </w:r>
      <w:r>
        <w:rPr>
          <w:rFonts w:ascii="Marianne" w:hAnsi="Marianne"/>
          <w:b/>
          <w:bCs/>
          <w:sz w:val="24"/>
          <w:szCs w:val="24"/>
        </w:rPr>
        <w:t>, les</w:t>
      </w:r>
      <w:r w:rsidRPr="007E2493">
        <w:rPr>
          <w:rFonts w:ascii="Marianne" w:hAnsi="Marianne"/>
          <w:b/>
          <w:bCs/>
          <w:sz w:val="24"/>
          <w:szCs w:val="24"/>
        </w:rPr>
        <w:t xml:space="preserve"> autorité</w:t>
      </w:r>
      <w:r>
        <w:rPr>
          <w:rFonts w:ascii="Marianne" w:hAnsi="Marianne"/>
          <w:b/>
          <w:bCs/>
          <w:sz w:val="24"/>
          <w:szCs w:val="24"/>
        </w:rPr>
        <w:t>s sanitaires</w:t>
      </w:r>
      <w:r w:rsidRPr="007E2493">
        <w:rPr>
          <w:rFonts w:ascii="Marianne" w:hAnsi="Marianne"/>
          <w:b/>
          <w:bCs/>
          <w:sz w:val="24"/>
          <w:szCs w:val="24"/>
        </w:rPr>
        <w:t xml:space="preserve"> rappellent les conduites à tenir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B6522B" w14:textId="77777777" w:rsidR="00C81AD0" w:rsidRDefault="00C81AD0" w:rsidP="007E2493">
      <w:pPr>
        <w:autoSpaceDE w:val="0"/>
        <w:autoSpaceDN w:val="0"/>
        <w:jc w:val="both"/>
        <w:rPr>
          <w:rFonts w:ascii="Marianne" w:hAnsi="Marianne"/>
          <w:sz w:val="18"/>
          <w:szCs w:val="18"/>
        </w:rPr>
      </w:pPr>
    </w:p>
    <w:p w14:paraId="5B0724EC" w14:textId="796FE522" w:rsidR="007E2493" w:rsidRPr="00AC06EE" w:rsidRDefault="007E2493" w:rsidP="007E2493">
      <w:pPr>
        <w:autoSpaceDE w:val="0"/>
        <w:autoSpaceDN w:val="0"/>
        <w:jc w:val="both"/>
        <w:rPr>
          <w:rFonts w:ascii="Marianne" w:hAnsi="Marianne"/>
          <w:sz w:val="16"/>
          <w:szCs w:val="16"/>
        </w:rPr>
      </w:pPr>
      <w:r w:rsidRPr="00AC06EE">
        <w:rPr>
          <w:rFonts w:ascii="Marianne" w:hAnsi="Marianne"/>
          <w:sz w:val="16"/>
          <w:szCs w:val="16"/>
        </w:rPr>
        <w:t>Depuis le 1</w:t>
      </w:r>
      <w:r w:rsidRPr="00AC06EE">
        <w:rPr>
          <w:rFonts w:ascii="Marianne" w:hAnsi="Marianne"/>
          <w:sz w:val="16"/>
          <w:szCs w:val="16"/>
          <w:vertAlign w:val="superscript"/>
        </w:rPr>
        <w:t>er</w:t>
      </w:r>
      <w:r w:rsidRPr="00AC06EE">
        <w:rPr>
          <w:rFonts w:ascii="Marianne" w:hAnsi="Marianne"/>
          <w:sz w:val="16"/>
          <w:szCs w:val="16"/>
        </w:rPr>
        <w:t xml:space="preserve"> janvier 2022, les autorités mènent des investigations sur des cas graves de syndrome hémolytique et urémique (SHU) signalés sur le territoire national. </w:t>
      </w:r>
    </w:p>
    <w:p w14:paraId="2AEC48B2" w14:textId="419497DD" w:rsidR="00AC06EE" w:rsidRDefault="008A44E1" w:rsidP="00AC06EE">
      <w:pPr>
        <w:autoSpaceDE w:val="0"/>
        <w:autoSpaceDN w:val="0"/>
        <w:jc w:val="both"/>
        <w:rPr>
          <w:rFonts w:ascii="Marianne" w:hAnsi="Marianne"/>
          <w:b/>
          <w:bCs/>
          <w:sz w:val="16"/>
          <w:szCs w:val="16"/>
        </w:rPr>
      </w:pPr>
      <w:r w:rsidRPr="00AC06EE">
        <w:rPr>
          <w:rFonts w:ascii="Marianne" w:hAnsi="Marianne"/>
          <w:sz w:val="16"/>
          <w:szCs w:val="16"/>
        </w:rPr>
        <w:t xml:space="preserve">Les analyses épidémiologiques, microbiologiques et de traçabilité </w:t>
      </w:r>
      <w:r w:rsidRPr="00AC06EE">
        <w:rPr>
          <w:rFonts w:ascii="Marianne" w:hAnsi="Marianne"/>
          <w:b/>
          <w:bCs/>
          <w:sz w:val="16"/>
          <w:szCs w:val="16"/>
        </w:rPr>
        <w:t>ont confirmé un lien</w:t>
      </w:r>
      <w:r w:rsidRPr="008A44E1">
        <w:rPr>
          <w:rFonts w:ascii="Marianne" w:hAnsi="Marianne"/>
          <w:b/>
          <w:bCs/>
          <w:sz w:val="16"/>
          <w:szCs w:val="16"/>
        </w:rPr>
        <w:t xml:space="preserve"> entre plusieurs cas et</w:t>
      </w:r>
      <w:r w:rsidRPr="00AC06EE">
        <w:rPr>
          <w:rFonts w:ascii="Marianne" w:hAnsi="Marianne"/>
          <w:b/>
          <w:bCs/>
          <w:sz w:val="16"/>
          <w:szCs w:val="16"/>
        </w:rPr>
        <w:t xml:space="preserve"> la consommation de pizzas surgelées de la gamme Fraîch’Up de la marque Buitoni contaminées par </w:t>
      </w:r>
      <w:r>
        <w:rPr>
          <w:rFonts w:ascii="Marianne" w:hAnsi="Marianne"/>
          <w:b/>
          <w:bCs/>
          <w:sz w:val="16"/>
          <w:szCs w:val="16"/>
        </w:rPr>
        <w:t>des</w:t>
      </w:r>
      <w:r w:rsidRPr="00AC06EE">
        <w:rPr>
          <w:rFonts w:ascii="Marianne" w:hAnsi="Marianne"/>
          <w:b/>
          <w:bCs/>
          <w:sz w:val="16"/>
          <w:szCs w:val="16"/>
        </w:rPr>
        <w:t xml:space="preserve"> bactérie</w:t>
      </w:r>
      <w:r>
        <w:rPr>
          <w:rFonts w:ascii="Marianne" w:hAnsi="Marianne"/>
          <w:b/>
          <w:bCs/>
          <w:sz w:val="16"/>
          <w:szCs w:val="16"/>
        </w:rPr>
        <w:t>s</w:t>
      </w:r>
      <w:r w:rsidRPr="00AC06EE">
        <w:rPr>
          <w:rFonts w:ascii="Marianne" w:hAnsi="Marianne"/>
          <w:b/>
          <w:bCs/>
          <w:sz w:val="16"/>
          <w:szCs w:val="16"/>
        </w:rPr>
        <w:t xml:space="preserve"> Escherichia coli producteurs de Shiga-toxines. </w:t>
      </w:r>
    </w:p>
    <w:p w14:paraId="11F2DC59" w14:textId="77777777" w:rsidR="008A44E1" w:rsidRPr="00432929" w:rsidRDefault="008A44E1" w:rsidP="00AC06EE">
      <w:pPr>
        <w:autoSpaceDE w:val="0"/>
        <w:autoSpaceDN w:val="0"/>
        <w:jc w:val="both"/>
        <w:rPr>
          <w:rFonts w:ascii="Marianne" w:hAnsi="Marianne"/>
          <w:b/>
          <w:bCs/>
          <w:sz w:val="16"/>
          <w:szCs w:val="16"/>
        </w:rPr>
      </w:pPr>
    </w:p>
    <w:p w14:paraId="0DE5A46E" w14:textId="7C92CEA0" w:rsidR="00AC06EE" w:rsidRPr="00AC06EE" w:rsidRDefault="00AC06EE" w:rsidP="00A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Marianne" w:hAnsi="Marianne"/>
          <w:b/>
          <w:sz w:val="16"/>
          <w:szCs w:val="16"/>
        </w:rPr>
      </w:pPr>
      <w:r w:rsidRPr="00432929">
        <w:rPr>
          <w:rFonts w:ascii="Marianne" w:hAnsi="Marianne"/>
          <w:b/>
          <w:sz w:val="16"/>
          <w:szCs w:val="16"/>
        </w:rPr>
        <w:t xml:space="preserve">Compte tenu de cette situation, les autorités demandent aux personnes qui détiendraient des pizzas Fraîch’Up de marque Buitoni </w:t>
      </w:r>
      <w:r w:rsidRPr="00432929">
        <w:rPr>
          <w:rFonts w:ascii="Marianne" w:hAnsi="Marianne"/>
          <w:b/>
          <w:sz w:val="16"/>
          <w:szCs w:val="16"/>
          <w:u w:val="single"/>
        </w:rPr>
        <w:t>de ne pas les consommer et de les détruire.</w:t>
      </w:r>
      <w:r w:rsidRPr="00432929">
        <w:rPr>
          <w:rFonts w:ascii="Marianne" w:hAnsi="Marianne"/>
          <w:b/>
          <w:sz w:val="16"/>
          <w:szCs w:val="16"/>
        </w:rPr>
        <w:t xml:space="preserve"> </w:t>
      </w:r>
      <w:r w:rsidRPr="00AC06EE">
        <w:rPr>
          <w:rFonts w:ascii="Marianne" w:hAnsi="Marianne"/>
          <w:b/>
          <w:sz w:val="16"/>
          <w:szCs w:val="16"/>
        </w:rPr>
        <w:t xml:space="preserve">Chaque foyer est invité à s’assurer que son congélateur n’en contient pas. </w:t>
      </w:r>
    </w:p>
    <w:p w14:paraId="11FF0DB7" w14:textId="270DCC0F" w:rsidR="00AC06EE" w:rsidRPr="008A44E1" w:rsidRDefault="00AC06EE" w:rsidP="00A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Marianne" w:hAnsi="Marianne"/>
          <w:sz w:val="16"/>
          <w:szCs w:val="16"/>
          <w:u w:val="single"/>
        </w:rPr>
      </w:pPr>
      <w:r w:rsidRPr="00AC06EE">
        <w:rPr>
          <w:rFonts w:ascii="Marianne" w:hAnsi="Marianne"/>
          <w:sz w:val="16"/>
          <w:szCs w:val="16"/>
        </w:rPr>
        <w:t xml:space="preserve">Il est également recommandé aux personnes détenant dans leur congélateur des pizzas surgelées ayant été séparées de leur boîte, et dont la gamme et la marque ne </w:t>
      </w:r>
      <w:r w:rsidR="006B5E6A" w:rsidRPr="00AC06EE">
        <w:rPr>
          <w:rFonts w:ascii="Marianne" w:hAnsi="Marianne"/>
          <w:sz w:val="16"/>
          <w:szCs w:val="16"/>
        </w:rPr>
        <w:t>peu</w:t>
      </w:r>
      <w:r w:rsidR="006B5E6A">
        <w:rPr>
          <w:rFonts w:ascii="Marianne" w:hAnsi="Marianne"/>
          <w:sz w:val="16"/>
          <w:szCs w:val="16"/>
        </w:rPr>
        <w:t>vent</w:t>
      </w:r>
      <w:r w:rsidR="006B5E6A" w:rsidRPr="00AC06EE">
        <w:rPr>
          <w:rFonts w:ascii="Marianne" w:hAnsi="Marianne"/>
          <w:sz w:val="16"/>
          <w:szCs w:val="16"/>
        </w:rPr>
        <w:t xml:space="preserve"> </w:t>
      </w:r>
      <w:r w:rsidRPr="00AC06EE">
        <w:rPr>
          <w:rFonts w:ascii="Marianne" w:hAnsi="Marianne"/>
          <w:sz w:val="16"/>
          <w:szCs w:val="16"/>
        </w:rPr>
        <w:t xml:space="preserve">pas être formellement identifiées ou clairement connues, </w:t>
      </w:r>
      <w:r w:rsidRPr="008A44E1">
        <w:rPr>
          <w:rFonts w:ascii="Marianne" w:hAnsi="Marianne"/>
          <w:sz w:val="16"/>
          <w:szCs w:val="16"/>
          <w:u w:val="single"/>
        </w:rPr>
        <w:t>de ne pas les consommer et de les détruire.</w:t>
      </w:r>
    </w:p>
    <w:p w14:paraId="2FDC0144" w14:textId="77777777" w:rsidR="00AC06EE" w:rsidRPr="00AC06EE" w:rsidRDefault="00AC06EE" w:rsidP="007E2493">
      <w:pPr>
        <w:autoSpaceDE w:val="0"/>
        <w:autoSpaceDN w:val="0"/>
        <w:jc w:val="both"/>
        <w:rPr>
          <w:rFonts w:ascii="Marianne" w:hAnsi="Marianne"/>
          <w:sz w:val="16"/>
          <w:szCs w:val="16"/>
        </w:rPr>
      </w:pPr>
    </w:p>
    <w:p w14:paraId="2D0FCAEA" w14:textId="575A1FB5" w:rsidR="00A15128" w:rsidRPr="00AC06EE" w:rsidRDefault="007E2493" w:rsidP="007E2493">
      <w:pPr>
        <w:autoSpaceDE w:val="0"/>
        <w:autoSpaceDN w:val="0"/>
        <w:jc w:val="both"/>
        <w:rPr>
          <w:rFonts w:ascii="Marianne" w:hAnsi="Marianne"/>
          <w:sz w:val="16"/>
          <w:szCs w:val="16"/>
        </w:rPr>
      </w:pPr>
      <w:r w:rsidRPr="00AC06EE">
        <w:rPr>
          <w:rFonts w:ascii="Marianne" w:hAnsi="Marianne"/>
          <w:sz w:val="16"/>
          <w:szCs w:val="16"/>
        </w:rPr>
        <w:t xml:space="preserve">Par mesure de précaution, l’entreprise avait procédé </w:t>
      </w:r>
      <w:r w:rsidRPr="008A44E1">
        <w:rPr>
          <w:rFonts w:ascii="Marianne" w:hAnsi="Marianne"/>
          <w:b/>
          <w:sz w:val="16"/>
          <w:szCs w:val="16"/>
        </w:rPr>
        <w:t xml:space="preserve">le 18 mars dernier, au retrait-rappel de l’ensemble des pizzas de la gamme Fraîch’Up, de marque Buitoni, </w:t>
      </w:r>
      <w:r w:rsidRPr="00AC06EE">
        <w:rPr>
          <w:rFonts w:ascii="Marianne" w:hAnsi="Marianne"/>
          <w:sz w:val="16"/>
          <w:szCs w:val="16"/>
        </w:rPr>
        <w:t xml:space="preserve">commercialisées </w:t>
      </w:r>
      <w:r w:rsidR="00B058D8">
        <w:rPr>
          <w:rFonts w:ascii="Marianne" w:hAnsi="Marianne"/>
          <w:sz w:val="16"/>
          <w:szCs w:val="16"/>
        </w:rPr>
        <w:t>depuis juin 2021</w:t>
      </w:r>
      <w:r w:rsidRPr="00AC06EE">
        <w:rPr>
          <w:rFonts w:ascii="Marianne" w:hAnsi="Marianne"/>
          <w:sz w:val="16"/>
          <w:szCs w:val="16"/>
        </w:rPr>
        <w:t>.</w:t>
      </w:r>
      <w:r w:rsidR="008A44E1" w:rsidRPr="008A44E1">
        <w:rPr>
          <w:rFonts w:ascii="Marianne" w:hAnsi="Marianne"/>
          <w:sz w:val="16"/>
          <w:szCs w:val="16"/>
        </w:rPr>
        <w:t xml:space="preserve"> </w:t>
      </w:r>
      <w:r w:rsidR="008A44E1" w:rsidRPr="00000E15">
        <w:rPr>
          <w:rFonts w:ascii="Marianne" w:hAnsi="Marianne"/>
          <w:sz w:val="16"/>
          <w:szCs w:val="16"/>
        </w:rPr>
        <w:t xml:space="preserve">Les autorités sont pleinement mobilisées pour assurer l’effectivité des mesures de retrait/rappel mises en œuvre au travers notamment de plus </w:t>
      </w:r>
      <w:r w:rsidR="008A44E1" w:rsidRPr="008A44E1">
        <w:rPr>
          <w:rFonts w:ascii="Marianne" w:hAnsi="Marianne"/>
          <w:b/>
          <w:sz w:val="16"/>
          <w:szCs w:val="16"/>
        </w:rPr>
        <w:t>de 10</w:t>
      </w:r>
      <w:r w:rsidR="008A44E1" w:rsidRPr="008A44E1">
        <w:rPr>
          <w:rFonts w:ascii="Calibri" w:hAnsi="Calibri" w:cs="Calibri"/>
          <w:b/>
          <w:sz w:val="16"/>
          <w:szCs w:val="16"/>
        </w:rPr>
        <w:t> </w:t>
      </w:r>
      <w:r w:rsidR="008A44E1" w:rsidRPr="008A44E1">
        <w:rPr>
          <w:rFonts w:ascii="Marianne" w:hAnsi="Marianne"/>
          <w:b/>
          <w:sz w:val="16"/>
          <w:szCs w:val="16"/>
        </w:rPr>
        <w:t xml:space="preserve">000 contrôles dans les différents canaux de distribution. </w:t>
      </w:r>
      <w:r w:rsidR="008A44E1" w:rsidRPr="00000E15">
        <w:rPr>
          <w:rFonts w:ascii="Marianne" w:hAnsi="Marianne"/>
          <w:sz w:val="16"/>
          <w:szCs w:val="16"/>
        </w:rPr>
        <w:t xml:space="preserve">Au-delà des contrôles, si des consommateurs constataient que des pizzas Fraîch’Up de la marque Buitoni étaient encore commercialisées, ils sont invités à réaliser un signalement sur la plateforme </w:t>
      </w:r>
      <w:hyperlink r:id="rId9" w:history="1">
        <w:r w:rsidR="008A44E1" w:rsidRPr="008A44E1">
          <w:rPr>
            <w:rStyle w:val="Lienhypertexte"/>
            <w:sz w:val="20"/>
            <w:szCs w:val="16"/>
          </w:rPr>
          <w:t>SignalConso</w:t>
        </w:r>
        <w:r w:rsidR="008A44E1" w:rsidRPr="008A44E1">
          <w:rPr>
            <w:rStyle w:val="Lienhypertexte"/>
            <w:rFonts w:ascii="Marianne" w:hAnsi="Marianne"/>
            <w:sz w:val="20"/>
            <w:szCs w:val="16"/>
          </w:rPr>
          <w:t>.</w:t>
        </w:r>
      </w:hyperlink>
    </w:p>
    <w:p w14:paraId="700A4B1B" w14:textId="79E52B98" w:rsidR="00695BBC" w:rsidRDefault="007E2493" w:rsidP="007E2493">
      <w:pPr>
        <w:autoSpaceDE w:val="0"/>
        <w:autoSpaceDN w:val="0"/>
        <w:jc w:val="both"/>
        <w:rPr>
          <w:rFonts w:ascii="Marianne" w:hAnsi="Marianne"/>
          <w:sz w:val="16"/>
          <w:szCs w:val="16"/>
        </w:rPr>
      </w:pPr>
      <w:r w:rsidRPr="007E131D">
        <w:rPr>
          <w:rFonts w:ascii="Marianne" w:hAnsi="Marianne"/>
          <w:sz w:val="16"/>
          <w:szCs w:val="16"/>
        </w:rPr>
        <w:t>Au 28 mars 2022</w:t>
      </w:r>
      <w:r w:rsidRPr="007E29FE">
        <w:rPr>
          <w:rFonts w:ascii="Marianne" w:hAnsi="Marianne"/>
          <w:sz w:val="16"/>
          <w:szCs w:val="16"/>
        </w:rPr>
        <w:t xml:space="preserve">, </w:t>
      </w:r>
      <w:r w:rsidR="00B058D8" w:rsidRPr="007E29FE">
        <w:rPr>
          <w:rFonts w:ascii="Marianne" w:hAnsi="Marianne"/>
          <w:sz w:val="16"/>
          <w:szCs w:val="16"/>
        </w:rPr>
        <w:t>75 cas sont en cours d'investigation, dont</w:t>
      </w:r>
      <w:r w:rsidR="00B058D8" w:rsidRPr="00F148B1">
        <w:t xml:space="preserve"> </w:t>
      </w:r>
      <w:r w:rsidRPr="007E131D">
        <w:rPr>
          <w:rFonts w:ascii="Marianne" w:hAnsi="Marianne"/>
          <w:b/>
          <w:bCs/>
          <w:sz w:val="16"/>
          <w:szCs w:val="16"/>
        </w:rPr>
        <w:t xml:space="preserve">41 cas de SHU </w:t>
      </w:r>
      <w:r w:rsidRPr="007E131D">
        <w:rPr>
          <w:rFonts w:ascii="Marianne" w:hAnsi="Marianne"/>
          <w:sz w:val="16"/>
          <w:szCs w:val="16"/>
        </w:rPr>
        <w:t>présentant des caractéristiques similaires, ont été identifiés,</w:t>
      </w:r>
      <w:r w:rsidR="00695BBC" w:rsidRPr="007E131D">
        <w:rPr>
          <w:rFonts w:ascii="Marianne" w:hAnsi="Marianne"/>
          <w:sz w:val="16"/>
          <w:szCs w:val="16"/>
        </w:rPr>
        <w:t xml:space="preserve"> s</w:t>
      </w:r>
      <w:r w:rsidRPr="007E131D">
        <w:rPr>
          <w:rFonts w:ascii="Marianne" w:hAnsi="Marianne"/>
          <w:sz w:val="16"/>
          <w:szCs w:val="16"/>
        </w:rPr>
        <w:t xml:space="preserve">oit </w:t>
      </w:r>
      <w:r w:rsidR="00695BBC" w:rsidRPr="007E131D">
        <w:rPr>
          <w:rFonts w:ascii="Marianne" w:hAnsi="Marianne"/>
          <w:sz w:val="16"/>
          <w:szCs w:val="16"/>
        </w:rPr>
        <w:t xml:space="preserve">14 cas </w:t>
      </w:r>
      <w:r w:rsidRPr="007E131D">
        <w:rPr>
          <w:rFonts w:ascii="Marianne" w:hAnsi="Marianne"/>
          <w:sz w:val="16"/>
          <w:szCs w:val="16"/>
        </w:rPr>
        <w:t>de plus par rapport au dernier point de situation</w:t>
      </w:r>
      <w:r w:rsidR="00695BBC" w:rsidRPr="007E131D">
        <w:rPr>
          <w:rFonts w:ascii="Marianne" w:hAnsi="Marianne"/>
          <w:sz w:val="16"/>
          <w:szCs w:val="16"/>
        </w:rPr>
        <w:t xml:space="preserve"> du 17 mars.</w:t>
      </w:r>
      <w:r w:rsidR="00695BBC">
        <w:rPr>
          <w:rFonts w:ascii="Marianne" w:hAnsi="Marianne"/>
          <w:sz w:val="16"/>
          <w:szCs w:val="16"/>
        </w:rPr>
        <w:t xml:space="preserve"> </w:t>
      </w:r>
      <w:r w:rsidR="00695BBC" w:rsidRPr="00AC06EE">
        <w:rPr>
          <w:rFonts w:ascii="Marianne" w:hAnsi="Marianne"/>
          <w:b/>
          <w:bCs/>
          <w:sz w:val="16"/>
          <w:szCs w:val="16"/>
        </w:rPr>
        <w:t>34 cas supplémentaires sont en cours d’investigation</w:t>
      </w:r>
      <w:r w:rsidR="008A44E1">
        <w:rPr>
          <w:rFonts w:ascii="Marianne" w:hAnsi="Marianne"/>
          <w:b/>
          <w:bCs/>
          <w:sz w:val="16"/>
          <w:szCs w:val="16"/>
        </w:rPr>
        <w:t>.</w:t>
      </w:r>
    </w:p>
    <w:p w14:paraId="60B85B1B" w14:textId="77777777" w:rsidR="00695BBC" w:rsidRPr="00695BBC" w:rsidRDefault="00695BBC" w:rsidP="00695BBC">
      <w:pPr>
        <w:autoSpaceDE w:val="0"/>
        <w:autoSpaceDN w:val="0"/>
        <w:jc w:val="both"/>
        <w:rPr>
          <w:rFonts w:ascii="Marianne" w:hAnsi="Marianne"/>
          <w:sz w:val="16"/>
          <w:szCs w:val="16"/>
        </w:rPr>
      </w:pPr>
      <w:r w:rsidRPr="007E29FE">
        <w:rPr>
          <w:rFonts w:ascii="Marianne" w:hAnsi="Marianne"/>
          <w:sz w:val="16"/>
          <w:szCs w:val="16"/>
        </w:rPr>
        <w:t>Ces 75 cas sont</w:t>
      </w:r>
      <w:r w:rsidRPr="00695BBC">
        <w:rPr>
          <w:rFonts w:ascii="Marianne" w:hAnsi="Marianne"/>
          <w:sz w:val="16"/>
          <w:szCs w:val="16"/>
        </w:rPr>
        <w:t xml:space="preserve"> survenus dans 12 régions de France métropolitaine : Hauts-de-France (16 cas), Nouvelle Aquitaine (11 cas), Pays de la Loire (10 cas), Ile-de-France (9 cas), Bretagne (7 cas), Grand Est (5 cas), Auvergne-Rhône-Alpes (4 cas), Centre Val-de-Loire (4 cas), Provence-Alpes-Côte d’Azur (3 cas), Bourgogne Franche-Comté (2 cas), Normandie (2 cas) et Occitanie (2 cas).</w:t>
      </w:r>
    </w:p>
    <w:p w14:paraId="09AD8AAB" w14:textId="55F038BB" w:rsidR="00A15128" w:rsidRPr="00AC06EE" w:rsidRDefault="007E2493" w:rsidP="007E2493">
      <w:pPr>
        <w:autoSpaceDE w:val="0"/>
        <w:autoSpaceDN w:val="0"/>
        <w:jc w:val="both"/>
        <w:rPr>
          <w:rFonts w:ascii="Marianne" w:hAnsi="Marianne"/>
          <w:sz w:val="16"/>
          <w:szCs w:val="16"/>
        </w:rPr>
      </w:pPr>
      <w:r w:rsidRPr="00AC06EE">
        <w:rPr>
          <w:rFonts w:ascii="Marianne" w:hAnsi="Marianne"/>
          <w:sz w:val="16"/>
          <w:szCs w:val="16"/>
        </w:rPr>
        <w:t xml:space="preserve">Les enfants malades sont âgés de 1 à 18 ans avec un âge médian de 7 ans. </w:t>
      </w:r>
      <w:r w:rsidRPr="00AC06EE">
        <w:rPr>
          <w:rFonts w:ascii="Marianne" w:hAnsi="Marianne"/>
          <w:b/>
          <w:bCs/>
          <w:sz w:val="16"/>
          <w:szCs w:val="16"/>
        </w:rPr>
        <w:t>Deux enfants sont décédés.</w:t>
      </w:r>
    </w:p>
    <w:p w14:paraId="139B8F7D" w14:textId="35ECD3AD" w:rsidR="00A15128" w:rsidRPr="00AC06EE" w:rsidRDefault="007E2493" w:rsidP="007E2493">
      <w:pPr>
        <w:autoSpaceDE w:val="0"/>
        <w:autoSpaceDN w:val="0"/>
        <w:jc w:val="both"/>
        <w:rPr>
          <w:rFonts w:ascii="Marianne" w:hAnsi="Marianne"/>
          <w:sz w:val="16"/>
          <w:szCs w:val="16"/>
        </w:rPr>
      </w:pPr>
      <w:r w:rsidRPr="00AC06EE">
        <w:rPr>
          <w:rFonts w:ascii="Marianne" w:hAnsi="Marianne"/>
          <w:sz w:val="16"/>
          <w:szCs w:val="16"/>
        </w:rPr>
        <w:t xml:space="preserve">Les autorités rappellent qu’après la consommation des produits concernés par le rappel, il est important de </w:t>
      </w:r>
      <w:r w:rsidRPr="00AC06EE">
        <w:rPr>
          <w:rFonts w:ascii="Marianne" w:hAnsi="Marianne"/>
          <w:b/>
          <w:sz w:val="16"/>
          <w:szCs w:val="16"/>
        </w:rPr>
        <w:t>consulter rapidement un médecin en signalant cette consommation</w:t>
      </w:r>
      <w:r w:rsidRPr="00AC06EE">
        <w:rPr>
          <w:rFonts w:ascii="Marianne" w:hAnsi="Marianne"/>
          <w:sz w:val="16"/>
          <w:szCs w:val="16"/>
        </w:rPr>
        <w:t xml:space="preserve"> si</w:t>
      </w:r>
      <w:r w:rsidR="00A15128" w:rsidRPr="00AC06EE">
        <w:rPr>
          <w:rFonts w:ascii="Marianne" w:hAnsi="Marianne"/>
          <w:sz w:val="16"/>
          <w:szCs w:val="16"/>
        </w:rPr>
        <w:t> :</w:t>
      </w:r>
    </w:p>
    <w:p w14:paraId="5B41E4CD" w14:textId="3A04E6D2" w:rsidR="00A15128" w:rsidRPr="00AC06EE" w:rsidRDefault="00A15128" w:rsidP="007E2493">
      <w:pPr>
        <w:autoSpaceDE w:val="0"/>
        <w:autoSpaceDN w:val="0"/>
        <w:jc w:val="both"/>
        <w:rPr>
          <w:rFonts w:ascii="Marianne" w:hAnsi="Marianne"/>
          <w:sz w:val="16"/>
          <w:szCs w:val="16"/>
        </w:rPr>
      </w:pPr>
      <w:r w:rsidRPr="00AC06EE">
        <w:rPr>
          <w:rFonts w:ascii="Marianne" w:hAnsi="Marianne"/>
          <w:sz w:val="16"/>
          <w:szCs w:val="16"/>
        </w:rPr>
        <w:lastRenderedPageBreak/>
        <w:t>-</w:t>
      </w:r>
      <w:r w:rsidR="00695BBC">
        <w:rPr>
          <w:rFonts w:ascii="Marianne" w:hAnsi="Marianne"/>
          <w:sz w:val="16"/>
          <w:szCs w:val="16"/>
        </w:rPr>
        <w:t xml:space="preserve"> </w:t>
      </w:r>
      <w:r w:rsidR="007E2493" w:rsidRPr="00AC06EE">
        <w:rPr>
          <w:rFonts w:ascii="Marianne" w:hAnsi="Marianne"/>
          <w:sz w:val="16"/>
          <w:szCs w:val="16"/>
        </w:rPr>
        <w:t>dans les 10 jours, les personnes présentent de la diarrhée, des douleurs abdomi</w:t>
      </w:r>
      <w:r w:rsidRPr="00AC06EE">
        <w:rPr>
          <w:rFonts w:ascii="Marianne" w:hAnsi="Marianne"/>
          <w:sz w:val="16"/>
          <w:szCs w:val="16"/>
        </w:rPr>
        <w:t>nales ou des vomissements</w:t>
      </w:r>
      <w:r w:rsidR="00432929">
        <w:rPr>
          <w:rFonts w:ascii="Marianne" w:hAnsi="Marianne"/>
          <w:sz w:val="16"/>
          <w:szCs w:val="16"/>
        </w:rPr>
        <w:t> ;</w:t>
      </w:r>
    </w:p>
    <w:p w14:paraId="542ED80F" w14:textId="6917D423" w:rsidR="00A15128" w:rsidRPr="00AC06EE" w:rsidRDefault="00A15128" w:rsidP="007E2493">
      <w:pPr>
        <w:autoSpaceDE w:val="0"/>
        <w:autoSpaceDN w:val="0"/>
        <w:jc w:val="both"/>
        <w:rPr>
          <w:rFonts w:ascii="Marianne" w:hAnsi="Marianne"/>
          <w:color w:val="FF0000"/>
          <w:sz w:val="16"/>
          <w:szCs w:val="16"/>
        </w:rPr>
      </w:pPr>
      <w:r w:rsidRPr="00AC06EE">
        <w:rPr>
          <w:rFonts w:ascii="Marianne" w:hAnsi="Marianne"/>
          <w:sz w:val="16"/>
          <w:szCs w:val="16"/>
        </w:rPr>
        <w:t>-</w:t>
      </w:r>
      <w:r w:rsidR="00695BBC">
        <w:rPr>
          <w:rFonts w:ascii="Marianne" w:hAnsi="Marianne"/>
          <w:sz w:val="16"/>
          <w:szCs w:val="16"/>
        </w:rPr>
        <w:t xml:space="preserve"> </w:t>
      </w:r>
      <w:r w:rsidR="007E2493" w:rsidRPr="00AC06EE">
        <w:rPr>
          <w:rFonts w:ascii="Marianne" w:hAnsi="Marianne"/>
          <w:sz w:val="16"/>
          <w:szCs w:val="16"/>
        </w:rPr>
        <w:t>dans les 15 jours les personnes présentent, des signes de grande fatigue, de pâleur, une diminution du volume des urines, qui deviennent plus foncées.</w:t>
      </w:r>
      <w:r w:rsidR="007E2493" w:rsidRPr="00AC06EE">
        <w:rPr>
          <w:rFonts w:ascii="Marianne" w:hAnsi="Marianne"/>
          <w:color w:val="FF0000"/>
          <w:sz w:val="16"/>
          <w:szCs w:val="16"/>
        </w:rPr>
        <w:t xml:space="preserve"> </w:t>
      </w:r>
    </w:p>
    <w:p w14:paraId="7D19BCCB" w14:textId="450B160C" w:rsidR="007E2493" w:rsidRPr="00AC06EE" w:rsidRDefault="007E2493" w:rsidP="007E2493">
      <w:pPr>
        <w:autoSpaceDE w:val="0"/>
        <w:autoSpaceDN w:val="0"/>
        <w:jc w:val="both"/>
        <w:rPr>
          <w:rFonts w:ascii="Marianne" w:hAnsi="Marianne"/>
          <w:b/>
          <w:color w:val="FF0000"/>
          <w:sz w:val="16"/>
          <w:szCs w:val="16"/>
        </w:rPr>
      </w:pPr>
      <w:r w:rsidRPr="00AC06EE">
        <w:rPr>
          <w:rFonts w:ascii="Marianne" w:hAnsi="Marianne"/>
          <w:b/>
          <w:sz w:val="16"/>
          <w:szCs w:val="16"/>
        </w:rPr>
        <w:t>En l’absence de symptômes</w:t>
      </w:r>
      <w:r w:rsidR="00695BBC">
        <w:rPr>
          <w:rFonts w:ascii="Marianne" w:hAnsi="Marianne"/>
          <w:b/>
          <w:sz w:val="16"/>
          <w:szCs w:val="16"/>
        </w:rPr>
        <w:t xml:space="preserve"> dans les 15 jours suivant la consommation</w:t>
      </w:r>
      <w:r w:rsidRPr="00AC06EE">
        <w:rPr>
          <w:rFonts w:ascii="Marianne" w:hAnsi="Marianne"/>
          <w:b/>
          <w:sz w:val="16"/>
          <w:szCs w:val="16"/>
        </w:rPr>
        <w:t xml:space="preserve">, il est également </w:t>
      </w:r>
      <w:r w:rsidR="00A15128" w:rsidRPr="00AC06EE">
        <w:rPr>
          <w:rFonts w:ascii="Marianne" w:hAnsi="Marianne"/>
          <w:b/>
          <w:sz w:val="16"/>
          <w:szCs w:val="16"/>
        </w:rPr>
        <w:t>rappelé</w:t>
      </w:r>
      <w:r w:rsidRPr="00AC06EE">
        <w:rPr>
          <w:rFonts w:ascii="Marianne" w:hAnsi="Marianne"/>
          <w:b/>
          <w:sz w:val="16"/>
          <w:szCs w:val="16"/>
        </w:rPr>
        <w:t xml:space="preserve"> qu’il n’y a pas lieu de s’inquiéter.</w:t>
      </w:r>
    </w:p>
    <w:p w14:paraId="5F6CA823" w14:textId="77777777" w:rsidR="007E2493" w:rsidRPr="00AC06EE" w:rsidRDefault="007E2493" w:rsidP="007E2493">
      <w:pPr>
        <w:autoSpaceDE w:val="0"/>
        <w:autoSpaceDN w:val="0"/>
        <w:rPr>
          <w:rFonts w:ascii="Marianne" w:hAnsi="Marianne"/>
          <w:b/>
          <w:bCs/>
          <w:sz w:val="16"/>
          <w:szCs w:val="16"/>
        </w:rPr>
      </w:pPr>
    </w:p>
    <w:p w14:paraId="5E269ACA" w14:textId="444A58EF" w:rsidR="00432929" w:rsidRPr="00AC06EE" w:rsidRDefault="00B84773" w:rsidP="00B84773">
      <w:pPr>
        <w:autoSpaceDE w:val="0"/>
        <w:jc w:val="both"/>
        <w:rPr>
          <w:rFonts w:ascii="Marianne" w:hAnsi="Marianne" w:cstheme="minorHAnsi"/>
          <w:b/>
          <w:sz w:val="16"/>
          <w:szCs w:val="16"/>
        </w:rPr>
      </w:pPr>
      <w:bookmarkStart w:id="0" w:name="_GoBack"/>
      <w:bookmarkEnd w:id="0"/>
      <w:r w:rsidRPr="00AC06EE">
        <w:rPr>
          <w:rFonts w:ascii="Marianne" w:hAnsi="Marianne" w:cstheme="minorHAnsi"/>
          <w:b/>
          <w:sz w:val="16"/>
          <w:szCs w:val="16"/>
        </w:rPr>
        <w:t xml:space="preserve">Pour plus d’informations : </w:t>
      </w:r>
    </w:p>
    <w:p w14:paraId="1C08B4A1" w14:textId="4CF286A2" w:rsidR="003D47B8" w:rsidRPr="008A44E1" w:rsidRDefault="006F5CBB" w:rsidP="00D95D50">
      <w:pPr>
        <w:pStyle w:val="Paragraphedeliste"/>
        <w:numPr>
          <w:ilvl w:val="0"/>
          <w:numId w:val="8"/>
        </w:numPr>
        <w:autoSpaceDE w:val="0"/>
        <w:jc w:val="both"/>
        <w:rPr>
          <w:rFonts w:ascii="Marianne" w:hAnsi="Marianne"/>
          <w:color w:val="0000FF"/>
          <w:sz w:val="16"/>
          <w:szCs w:val="16"/>
          <w:u w:val="single"/>
        </w:rPr>
      </w:pPr>
      <w:hyperlink r:id="rId10" w:history="1">
        <w:r w:rsidR="00124A6B" w:rsidRPr="008A44E1">
          <w:rPr>
            <w:rStyle w:val="Lienhypertexte"/>
            <w:rFonts w:ascii="Marianne" w:hAnsi="Marianne"/>
            <w:sz w:val="16"/>
            <w:szCs w:val="16"/>
          </w:rPr>
          <w:t>Cas graves de syndrome hémolytique et urémique (SHU) chez l’enfant : retrait - rappel préventif de lots de pizzas surgelées Fraîch’Up de la marque Buitoni en raison d’une possible contamination par la bactérie Escherichia coli O26. - Ministère des Solidarités et de la Santé (solidarites-sante.gouv.fr)</w:t>
        </w:r>
      </w:hyperlink>
      <w:r w:rsidR="00124A6B" w:rsidRPr="008A44E1">
        <w:rPr>
          <w:rFonts w:ascii="Marianne" w:hAnsi="Marianne"/>
          <w:sz w:val="16"/>
          <w:szCs w:val="16"/>
        </w:rPr>
        <w:t xml:space="preserve"> </w:t>
      </w:r>
      <w:r w:rsidR="00124A6B" w:rsidRPr="001A2602">
        <w:rPr>
          <w:rStyle w:val="Lienhypertexte"/>
          <w:rFonts w:ascii="Marianne" w:hAnsi="Marianne"/>
          <w:color w:val="auto"/>
          <w:sz w:val="16"/>
          <w:szCs w:val="16"/>
        </w:rPr>
        <w:t>(</w:t>
      </w:r>
      <w:r w:rsidR="00124A6B" w:rsidRPr="008A44E1">
        <w:rPr>
          <w:rStyle w:val="Lienhypertexte"/>
          <w:rFonts w:ascii="Marianne" w:hAnsi="Marianne"/>
          <w:color w:val="auto"/>
          <w:sz w:val="16"/>
          <w:szCs w:val="16"/>
          <w:u w:val="none"/>
        </w:rPr>
        <w:t>communiqué de presse du 18 mars 2022)</w:t>
      </w:r>
    </w:p>
    <w:p w14:paraId="27E5261B" w14:textId="6E7F12FF" w:rsidR="006960DA" w:rsidRPr="001A2602" w:rsidRDefault="006F5CBB" w:rsidP="00D95D50">
      <w:pPr>
        <w:pStyle w:val="Paragraphedeliste"/>
        <w:numPr>
          <w:ilvl w:val="0"/>
          <w:numId w:val="8"/>
        </w:numPr>
        <w:autoSpaceDE w:val="0"/>
        <w:jc w:val="both"/>
        <w:rPr>
          <w:rStyle w:val="Lienhypertexte"/>
          <w:rFonts w:ascii="Marianne" w:hAnsi="Marianne"/>
          <w:sz w:val="16"/>
          <w:szCs w:val="16"/>
        </w:rPr>
      </w:pPr>
      <w:hyperlink r:id="rId11" w:history="1">
        <w:r w:rsidR="006960DA" w:rsidRPr="008A44E1">
          <w:rPr>
            <w:rStyle w:val="Lienhypertexte"/>
            <w:rFonts w:ascii="Marianne" w:hAnsi="Marianne"/>
            <w:sz w:val="16"/>
            <w:szCs w:val="16"/>
          </w:rPr>
          <w:t>Communiqué de presse Buitoni : Rappel de pizzas surgelées Fraich’up Buitoni</w:t>
        </w:r>
      </w:hyperlink>
    </w:p>
    <w:p w14:paraId="14663C82" w14:textId="3F93A4B1" w:rsidR="00D95D50" w:rsidRPr="008A44E1" w:rsidRDefault="006F5CBB" w:rsidP="00D95D50">
      <w:pPr>
        <w:pStyle w:val="Paragraphedeliste"/>
        <w:numPr>
          <w:ilvl w:val="0"/>
          <w:numId w:val="8"/>
        </w:numPr>
        <w:autoSpaceDE w:val="0"/>
        <w:jc w:val="both"/>
        <w:rPr>
          <w:rFonts w:ascii="Marianne" w:hAnsi="Marianne" w:cstheme="minorHAnsi"/>
          <w:b/>
          <w:color w:val="auto"/>
          <w:sz w:val="16"/>
          <w:szCs w:val="16"/>
        </w:rPr>
      </w:pPr>
      <w:hyperlink r:id="rId12" w:history="1">
        <w:r w:rsidR="00D95D50" w:rsidRPr="008A44E1">
          <w:rPr>
            <w:rStyle w:val="Lienhypertexte"/>
            <w:rFonts w:ascii="Marianne" w:hAnsi="Marianne"/>
            <w:sz w:val="16"/>
            <w:szCs w:val="16"/>
          </w:rPr>
          <w:t xml:space="preserve">Point sur les investigations en cours concernant des cas graves de syndrome hémolytique et urémique (SHU) chez l’enfant : rappel des recommandations de prévention des risques alimentaires </w:t>
        </w:r>
      </w:hyperlink>
      <w:r w:rsidR="00D95D50" w:rsidRPr="001A2602">
        <w:rPr>
          <w:rFonts w:ascii="Marianne" w:hAnsi="Marianne"/>
          <w:color w:val="333333"/>
          <w:sz w:val="16"/>
          <w:szCs w:val="16"/>
        </w:rPr>
        <w:t>(communiqué de presse du 12 mars 2022)</w:t>
      </w:r>
    </w:p>
    <w:p w14:paraId="312C07AB" w14:textId="77777777" w:rsidR="00D95D50" w:rsidRPr="008A44E1" w:rsidRDefault="006F5CBB" w:rsidP="00D95D50">
      <w:pPr>
        <w:pStyle w:val="Paragraphedeliste"/>
        <w:numPr>
          <w:ilvl w:val="0"/>
          <w:numId w:val="8"/>
        </w:numPr>
        <w:autoSpaceDE w:val="0"/>
        <w:jc w:val="both"/>
        <w:rPr>
          <w:rStyle w:val="Lienhypertexte"/>
          <w:rFonts w:ascii="Marianne" w:hAnsi="Marianne"/>
          <w:color w:val="auto"/>
          <w:sz w:val="16"/>
          <w:szCs w:val="16"/>
          <w:u w:val="none"/>
        </w:rPr>
      </w:pPr>
      <w:hyperlink r:id="rId13" w:history="1">
        <w:r w:rsidR="00D95D50" w:rsidRPr="008A44E1">
          <w:rPr>
            <w:rStyle w:val="Lienhypertexte"/>
            <w:rFonts w:ascii="Marianne" w:hAnsi="Marianne"/>
            <w:sz w:val="16"/>
            <w:szCs w:val="16"/>
          </w:rPr>
          <w:t>Investigations en cours de cas de syndrome hémolytique et urémique (SHU) pédiatriques et recommandations sanitaires - Ministère des Solidarités et de la Santé (solidarites-sante.gouv.fr)</w:t>
        </w:r>
      </w:hyperlink>
      <w:r w:rsidR="00D95D50" w:rsidRPr="001A2602">
        <w:rPr>
          <w:rStyle w:val="Lienhypertexte"/>
          <w:rFonts w:ascii="Marianne" w:hAnsi="Marianne"/>
          <w:sz w:val="16"/>
          <w:szCs w:val="16"/>
        </w:rPr>
        <w:t xml:space="preserve"> </w:t>
      </w:r>
      <w:r w:rsidR="00D95D50" w:rsidRPr="008A44E1">
        <w:rPr>
          <w:rStyle w:val="Lienhypertexte"/>
          <w:rFonts w:ascii="Marianne" w:hAnsi="Marianne"/>
          <w:color w:val="auto"/>
          <w:sz w:val="16"/>
          <w:szCs w:val="16"/>
        </w:rPr>
        <w:t>(</w:t>
      </w:r>
      <w:r w:rsidR="00D95D50" w:rsidRPr="008A44E1">
        <w:rPr>
          <w:rStyle w:val="Lienhypertexte"/>
          <w:rFonts w:ascii="Marianne" w:hAnsi="Marianne"/>
          <w:color w:val="auto"/>
          <w:sz w:val="16"/>
          <w:szCs w:val="16"/>
          <w:u w:val="none"/>
        </w:rPr>
        <w:t>communiqué de presse du 25 février 2022)</w:t>
      </w:r>
    </w:p>
    <w:p w14:paraId="3F3643A7" w14:textId="77777777" w:rsidR="00FF22C5" w:rsidRPr="001A2602" w:rsidRDefault="006F5CBB" w:rsidP="00D95D50">
      <w:pPr>
        <w:pStyle w:val="Paragraphedeliste"/>
        <w:numPr>
          <w:ilvl w:val="0"/>
          <w:numId w:val="8"/>
        </w:numPr>
        <w:textAlignment w:val="baseline"/>
        <w:outlineLvl w:val="0"/>
        <w:rPr>
          <w:rFonts w:ascii="Marianne" w:hAnsi="Marianne" w:cstheme="minorHAnsi"/>
          <w:color w:val="000000" w:themeColor="text1"/>
          <w:sz w:val="16"/>
          <w:szCs w:val="16"/>
        </w:rPr>
      </w:pPr>
      <w:hyperlink r:id="rId14" w:history="1">
        <w:r w:rsidR="00C260BA" w:rsidRPr="008A44E1">
          <w:rPr>
            <w:rStyle w:val="Lienhypertexte"/>
            <w:rFonts w:ascii="Marianne" w:hAnsi="Marianne" w:cstheme="minorHAnsi"/>
            <w:sz w:val="16"/>
            <w:szCs w:val="16"/>
          </w:rPr>
          <w:t>Syndrome hémolytique et urémique (Santé Publique France)</w:t>
        </w:r>
      </w:hyperlink>
    </w:p>
    <w:p w14:paraId="024BFE1B" w14:textId="587297CC" w:rsidR="00D95D50" w:rsidRPr="008A44E1" w:rsidRDefault="006F5CBB" w:rsidP="00D95D50">
      <w:pPr>
        <w:pStyle w:val="Paragraphedeliste"/>
        <w:numPr>
          <w:ilvl w:val="0"/>
          <w:numId w:val="8"/>
        </w:numPr>
        <w:textAlignment w:val="baseline"/>
        <w:outlineLvl w:val="0"/>
        <w:rPr>
          <w:rFonts w:ascii="Marianne" w:hAnsi="Marianne" w:cstheme="minorHAnsi"/>
          <w:color w:val="000000" w:themeColor="text1"/>
          <w:sz w:val="16"/>
          <w:szCs w:val="16"/>
        </w:rPr>
      </w:pPr>
      <w:hyperlink r:id="rId15" w:history="1">
        <w:r w:rsidR="00D95D50" w:rsidRPr="008A44E1">
          <w:rPr>
            <w:rStyle w:val="Lienhypertexte"/>
            <w:rFonts w:ascii="Marianne" w:hAnsi="Marianne" w:cstheme="minorHAnsi"/>
            <w:sz w:val="16"/>
            <w:szCs w:val="16"/>
          </w:rPr>
          <w:t>Les Escherichia coli entérohémorragiques (EHEC) - Connaître la bactérie pour éviter les intoxications</w:t>
        </w:r>
      </w:hyperlink>
      <w:r w:rsidR="00D95D50" w:rsidRPr="001A2602">
        <w:rPr>
          <w:rFonts w:ascii="Marianne" w:hAnsi="Marianne" w:cstheme="minorHAnsi"/>
          <w:color w:val="000000" w:themeColor="text1"/>
          <w:sz w:val="16"/>
          <w:szCs w:val="16"/>
        </w:rPr>
        <w:t xml:space="preserve"> (Anses)</w:t>
      </w:r>
    </w:p>
    <w:p w14:paraId="3860007D" w14:textId="09D74465" w:rsidR="00D95D50" w:rsidRPr="008A44E1" w:rsidRDefault="006F5CBB" w:rsidP="00D95D50">
      <w:pPr>
        <w:pStyle w:val="Paragraphedeliste"/>
        <w:numPr>
          <w:ilvl w:val="0"/>
          <w:numId w:val="8"/>
        </w:numPr>
        <w:textAlignment w:val="baseline"/>
        <w:outlineLvl w:val="0"/>
        <w:rPr>
          <w:rStyle w:val="Lienhypertexte"/>
          <w:rFonts w:ascii="Marianne" w:hAnsi="Marianne" w:cstheme="minorHAnsi"/>
          <w:color w:val="000000" w:themeColor="text1"/>
          <w:sz w:val="16"/>
          <w:szCs w:val="16"/>
          <w:u w:val="none"/>
        </w:rPr>
      </w:pPr>
      <w:hyperlink r:id="rId16" w:history="1">
        <w:r w:rsidR="00D95D50" w:rsidRPr="008A44E1">
          <w:rPr>
            <w:rStyle w:val="Lienhypertexte"/>
            <w:rFonts w:ascii="Marianne" w:hAnsi="Marianne"/>
            <w:sz w:val="16"/>
            <w:szCs w:val="16"/>
          </w:rPr>
          <w:t>Conseils d'hygiène dans la cuisine | Anses - Agence nationale de sécurité sanitaire de l’alimentation, de l’environnement et du travail</w:t>
        </w:r>
      </w:hyperlink>
    </w:p>
    <w:p w14:paraId="22678AB2" w14:textId="79408462" w:rsidR="007E131D" w:rsidRPr="001A2602" w:rsidRDefault="006F5CBB" w:rsidP="00D95D50">
      <w:pPr>
        <w:pStyle w:val="Paragraphedeliste"/>
        <w:numPr>
          <w:ilvl w:val="0"/>
          <w:numId w:val="8"/>
        </w:numPr>
        <w:textAlignment w:val="baseline"/>
        <w:outlineLvl w:val="0"/>
        <w:rPr>
          <w:rStyle w:val="Lienhypertexte"/>
          <w:rFonts w:ascii="Marianne" w:hAnsi="Marianne" w:cstheme="minorHAnsi"/>
          <w:color w:val="000000" w:themeColor="text1"/>
          <w:sz w:val="16"/>
          <w:szCs w:val="16"/>
          <w:u w:val="none"/>
        </w:rPr>
      </w:pPr>
      <w:hyperlink r:id="rId17" w:history="1">
        <w:r w:rsidR="007E131D" w:rsidRPr="008A44E1">
          <w:rPr>
            <w:rStyle w:val="Lienhypertexte"/>
            <w:rFonts w:ascii="Marianne" w:hAnsi="Marianne" w:cstheme="minorHAnsi"/>
            <w:sz w:val="16"/>
            <w:szCs w:val="16"/>
          </w:rPr>
          <w:t>Fiche d’information « Escherichia coli entérohémorragiques (ECEH) »</w:t>
        </w:r>
      </w:hyperlink>
      <w:r w:rsidR="007E131D" w:rsidRPr="008A44E1">
        <w:rPr>
          <w:rStyle w:val="Lienhypertexte"/>
          <w:rFonts w:ascii="Marianne" w:hAnsi="Marianne" w:cstheme="minorHAnsi"/>
          <w:color w:val="000000" w:themeColor="text1"/>
          <w:sz w:val="16"/>
          <w:szCs w:val="16"/>
          <w:u w:val="none"/>
        </w:rPr>
        <w:t xml:space="preserve"> (Institut Pasteur)</w:t>
      </w:r>
    </w:p>
    <w:p w14:paraId="3257DB3F" w14:textId="77777777" w:rsidR="005E4BB6" w:rsidRPr="00AC06EE" w:rsidRDefault="005E4BB6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6"/>
          <w:szCs w:val="16"/>
        </w:rPr>
      </w:pPr>
    </w:p>
    <w:p w14:paraId="6F82CAF6" w14:textId="77777777" w:rsidR="004128DB" w:rsidRPr="00AC06EE" w:rsidRDefault="004128DB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16"/>
          <w:szCs w:val="16"/>
        </w:rPr>
      </w:pPr>
    </w:p>
    <w:p w14:paraId="07B13FB9" w14:textId="77777777" w:rsidR="00286845" w:rsidRPr="00AC06EE" w:rsidRDefault="00682462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16"/>
          <w:szCs w:val="16"/>
        </w:rPr>
      </w:pPr>
      <w:r w:rsidRPr="00AC06EE">
        <w:rPr>
          <w:rFonts w:ascii="Marianne" w:hAnsi="Marianne"/>
          <w:b/>
          <w:sz w:val="16"/>
          <w:szCs w:val="16"/>
        </w:rPr>
        <w:t>Contact</w:t>
      </w:r>
      <w:r w:rsidR="00BF3393" w:rsidRPr="00AC06EE">
        <w:rPr>
          <w:rFonts w:ascii="Marianne" w:hAnsi="Marianne"/>
          <w:b/>
          <w:sz w:val="16"/>
          <w:szCs w:val="16"/>
        </w:rPr>
        <w:t>s</w:t>
      </w:r>
      <w:r w:rsidRPr="00AC06EE">
        <w:rPr>
          <w:rFonts w:ascii="Marianne" w:hAnsi="Marianne"/>
          <w:b/>
          <w:sz w:val="16"/>
          <w:szCs w:val="16"/>
        </w:rPr>
        <w:t xml:space="preserve"> </w:t>
      </w:r>
      <w:r w:rsidR="004128DB" w:rsidRPr="00AC06EE">
        <w:rPr>
          <w:rFonts w:ascii="Marianne" w:hAnsi="Marianne"/>
          <w:b/>
          <w:sz w:val="16"/>
          <w:szCs w:val="16"/>
        </w:rPr>
        <w:t>presse</w:t>
      </w:r>
    </w:p>
    <w:p w14:paraId="7C9642A1" w14:textId="6B852C42" w:rsidR="00C260BA" w:rsidRPr="00AC06EE" w:rsidRDefault="00C260BA" w:rsidP="00C260B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/>
          <w:color w:val="333333"/>
          <w:sz w:val="16"/>
          <w:szCs w:val="16"/>
        </w:rPr>
      </w:pPr>
      <w:r w:rsidRPr="00AC06EE">
        <w:rPr>
          <w:rFonts w:ascii="Marianne" w:hAnsi="Marianne"/>
          <w:color w:val="333333"/>
          <w:sz w:val="16"/>
          <w:szCs w:val="16"/>
        </w:rPr>
        <w:t>Direction générale de la concurrence, consommation et répression des fraudes</w:t>
      </w:r>
    </w:p>
    <w:p w14:paraId="2B871AEB" w14:textId="77777777" w:rsidR="00C260BA" w:rsidRPr="00AC06EE" w:rsidRDefault="006F5CBB" w:rsidP="00C260BA">
      <w:pPr>
        <w:pStyle w:val="NormalWeb"/>
        <w:shd w:val="clear" w:color="auto" w:fill="FFFFFF"/>
        <w:spacing w:before="0" w:beforeAutospacing="0" w:after="300" w:afterAutospacing="0"/>
        <w:rPr>
          <w:rStyle w:val="Lienhypertexte"/>
          <w:color w:val="0253A3"/>
          <w:sz w:val="16"/>
          <w:szCs w:val="16"/>
        </w:rPr>
      </w:pPr>
      <w:hyperlink r:id="rId18" w:history="1">
        <w:r w:rsidR="00C260BA" w:rsidRPr="00AC06EE">
          <w:rPr>
            <w:rStyle w:val="Lienhypertexte"/>
            <w:rFonts w:ascii="Marianne" w:hAnsi="Marianne"/>
            <w:color w:val="0253A3"/>
            <w:sz w:val="16"/>
            <w:szCs w:val="16"/>
          </w:rPr>
          <w:t>communication@dgccrf.finances.gouv.fr</w:t>
        </w:r>
      </w:hyperlink>
    </w:p>
    <w:p w14:paraId="35E65587" w14:textId="667F3687" w:rsidR="00BF3393" w:rsidRPr="00AC06EE" w:rsidRDefault="00BF3393" w:rsidP="00BF3393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333333"/>
          <w:sz w:val="16"/>
          <w:szCs w:val="16"/>
        </w:rPr>
      </w:pPr>
      <w:r w:rsidRPr="00AC06EE">
        <w:rPr>
          <w:rFonts w:ascii="Marianne" w:hAnsi="Marianne"/>
          <w:color w:val="333333"/>
          <w:sz w:val="16"/>
          <w:szCs w:val="16"/>
        </w:rPr>
        <w:t>Direction générale de la Santé</w:t>
      </w:r>
      <w:r w:rsidRPr="00AC06EE">
        <w:rPr>
          <w:rFonts w:ascii="Marianne" w:hAnsi="Marianne"/>
          <w:color w:val="333333"/>
          <w:sz w:val="16"/>
          <w:szCs w:val="16"/>
        </w:rPr>
        <w:br/>
      </w:r>
      <w:hyperlink r:id="rId19" w:history="1">
        <w:r w:rsidRPr="00AC06EE">
          <w:rPr>
            <w:rStyle w:val="Lienhypertexte"/>
            <w:rFonts w:ascii="Marianne" w:hAnsi="Marianne"/>
            <w:color w:val="0253A3"/>
            <w:sz w:val="16"/>
            <w:szCs w:val="16"/>
          </w:rPr>
          <w:t>presse-dgs@sante.gouv.fr</w:t>
        </w:r>
      </w:hyperlink>
    </w:p>
    <w:p w14:paraId="606BF428" w14:textId="2AF4CA75" w:rsidR="00D72452" w:rsidRPr="00AC06EE" w:rsidRDefault="00BF3393" w:rsidP="00D841D4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333333"/>
          <w:sz w:val="16"/>
          <w:szCs w:val="16"/>
        </w:rPr>
      </w:pPr>
      <w:r w:rsidRPr="00AC06EE">
        <w:rPr>
          <w:rFonts w:ascii="Marianne" w:hAnsi="Marianne"/>
          <w:color w:val="333333"/>
          <w:sz w:val="16"/>
          <w:szCs w:val="16"/>
        </w:rPr>
        <w:t>Santé publique France</w:t>
      </w:r>
      <w:r w:rsidRPr="00AC06EE">
        <w:rPr>
          <w:rFonts w:ascii="Marianne" w:hAnsi="Marianne"/>
          <w:color w:val="333333"/>
          <w:sz w:val="16"/>
          <w:szCs w:val="16"/>
        </w:rPr>
        <w:br/>
      </w:r>
      <w:hyperlink r:id="rId20" w:history="1">
        <w:r w:rsidRPr="00AC06EE">
          <w:rPr>
            <w:rStyle w:val="Lienhypertexte"/>
            <w:rFonts w:ascii="Marianne" w:hAnsi="Marianne"/>
            <w:color w:val="0253A3"/>
            <w:sz w:val="16"/>
            <w:szCs w:val="16"/>
          </w:rPr>
          <w:t>presse@santepubliquefrance.fr</w:t>
        </w:r>
      </w:hyperlink>
    </w:p>
    <w:sectPr w:rsidR="00D72452" w:rsidRPr="00AC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9EF5" w14:textId="77777777" w:rsidR="006F5CBB" w:rsidRDefault="006F5CBB" w:rsidP="00EB7F47">
      <w:pPr>
        <w:spacing w:after="0" w:line="240" w:lineRule="auto"/>
      </w:pPr>
      <w:r>
        <w:separator/>
      </w:r>
    </w:p>
  </w:endnote>
  <w:endnote w:type="continuationSeparator" w:id="0">
    <w:p w14:paraId="77CB0ED8" w14:textId="77777777" w:rsidR="006F5CBB" w:rsidRDefault="006F5CBB" w:rsidP="00EB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1E2C" w14:textId="77777777" w:rsidR="006F5CBB" w:rsidRDefault="006F5CBB" w:rsidP="00EB7F47">
      <w:pPr>
        <w:spacing w:after="0" w:line="240" w:lineRule="auto"/>
      </w:pPr>
      <w:r>
        <w:separator/>
      </w:r>
    </w:p>
  </w:footnote>
  <w:footnote w:type="continuationSeparator" w:id="0">
    <w:p w14:paraId="55EF52D3" w14:textId="77777777" w:rsidR="006F5CBB" w:rsidRDefault="006F5CBB" w:rsidP="00EB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</w:rPr>
    </w:lvl>
  </w:abstractNum>
  <w:abstractNum w:abstractNumId="1" w15:restartNumberingAfterBreak="0">
    <w:nsid w:val="00000005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1A5A5B"/>
    <w:multiLevelType w:val="hybridMultilevel"/>
    <w:tmpl w:val="5D9CAE68"/>
    <w:lvl w:ilvl="0" w:tplc="800CEDB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CAF"/>
    <w:multiLevelType w:val="hybridMultilevel"/>
    <w:tmpl w:val="3EF48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3EB0"/>
    <w:multiLevelType w:val="hybridMultilevel"/>
    <w:tmpl w:val="486AA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7BA0"/>
    <w:multiLevelType w:val="hybridMultilevel"/>
    <w:tmpl w:val="499C5270"/>
    <w:lvl w:ilvl="0" w:tplc="C38A3E6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80009"/>
    <w:multiLevelType w:val="hybridMultilevel"/>
    <w:tmpl w:val="9D44A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426C"/>
    <w:multiLevelType w:val="hybridMultilevel"/>
    <w:tmpl w:val="EDE29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7B9F"/>
    <w:multiLevelType w:val="hybridMultilevel"/>
    <w:tmpl w:val="9C865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4E5"/>
    <w:multiLevelType w:val="hybridMultilevel"/>
    <w:tmpl w:val="515EF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50C45"/>
    <w:multiLevelType w:val="hybridMultilevel"/>
    <w:tmpl w:val="9C0ACBF2"/>
    <w:lvl w:ilvl="0" w:tplc="E34A455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8730B"/>
    <w:multiLevelType w:val="hybridMultilevel"/>
    <w:tmpl w:val="488463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F7"/>
    <w:rsid w:val="0001168B"/>
    <w:rsid w:val="00013A2E"/>
    <w:rsid w:val="00054B13"/>
    <w:rsid w:val="00071FB2"/>
    <w:rsid w:val="000766DC"/>
    <w:rsid w:val="000827E9"/>
    <w:rsid w:val="00087EFC"/>
    <w:rsid w:val="000A498A"/>
    <w:rsid w:val="000B1F12"/>
    <w:rsid w:val="000D28A9"/>
    <w:rsid w:val="00121D17"/>
    <w:rsid w:val="00124A6B"/>
    <w:rsid w:val="00135CB1"/>
    <w:rsid w:val="001428E5"/>
    <w:rsid w:val="001450ED"/>
    <w:rsid w:val="00173C83"/>
    <w:rsid w:val="001756D0"/>
    <w:rsid w:val="0019201E"/>
    <w:rsid w:val="001977E8"/>
    <w:rsid w:val="001A030A"/>
    <w:rsid w:val="001A2602"/>
    <w:rsid w:val="001A4A4A"/>
    <w:rsid w:val="001A6407"/>
    <w:rsid w:val="001B1EE6"/>
    <w:rsid w:val="001B2073"/>
    <w:rsid w:val="001E1384"/>
    <w:rsid w:val="00223E4B"/>
    <w:rsid w:val="00227161"/>
    <w:rsid w:val="0025590A"/>
    <w:rsid w:val="00262AAD"/>
    <w:rsid w:val="00286845"/>
    <w:rsid w:val="002B086A"/>
    <w:rsid w:val="002B0F1F"/>
    <w:rsid w:val="002D5D0C"/>
    <w:rsid w:val="003252BF"/>
    <w:rsid w:val="003543A4"/>
    <w:rsid w:val="00364D9D"/>
    <w:rsid w:val="00380223"/>
    <w:rsid w:val="00381C5F"/>
    <w:rsid w:val="00385B66"/>
    <w:rsid w:val="003A28EE"/>
    <w:rsid w:val="003B2DBE"/>
    <w:rsid w:val="003D47B8"/>
    <w:rsid w:val="003E4557"/>
    <w:rsid w:val="003F49B0"/>
    <w:rsid w:val="003F4BB0"/>
    <w:rsid w:val="003F72A9"/>
    <w:rsid w:val="00400232"/>
    <w:rsid w:val="004128DB"/>
    <w:rsid w:val="00432929"/>
    <w:rsid w:val="0044442F"/>
    <w:rsid w:val="00462DF7"/>
    <w:rsid w:val="004838D6"/>
    <w:rsid w:val="00486A99"/>
    <w:rsid w:val="0049361E"/>
    <w:rsid w:val="004D4B6A"/>
    <w:rsid w:val="004F1061"/>
    <w:rsid w:val="004F4C5D"/>
    <w:rsid w:val="0050348F"/>
    <w:rsid w:val="00570E91"/>
    <w:rsid w:val="005734E1"/>
    <w:rsid w:val="005B7626"/>
    <w:rsid w:val="005C2541"/>
    <w:rsid w:val="005C5247"/>
    <w:rsid w:val="005D2C1B"/>
    <w:rsid w:val="005D524A"/>
    <w:rsid w:val="005D6456"/>
    <w:rsid w:val="005E4BB6"/>
    <w:rsid w:val="005E584D"/>
    <w:rsid w:val="005F003C"/>
    <w:rsid w:val="005F1236"/>
    <w:rsid w:val="006014B1"/>
    <w:rsid w:val="00616C0D"/>
    <w:rsid w:val="0064693E"/>
    <w:rsid w:val="00650AD4"/>
    <w:rsid w:val="00657169"/>
    <w:rsid w:val="00672651"/>
    <w:rsid w:val="00676061"/>
    <w:rsid w:val="00682462"/>
    <w:rsid w:val="00685341"/>
    <w:rsid w:val="0069586D"/>
    <w:rsid w:val="00695BBC"/>
    <w:rsid w:val="006960DA"/>
    <w:rsid w:val="006A4F62"/>
    <w:rsid w:val="006B0446"/>
    <w:rsid w:val="006B060B"/>
    <w:rsid w:val="006B5E6A"/>
    <w:rsid w:val="006C31B4"/>
    <w:rsid w:val="006C6041"/>
    <w:rsid w:val="006E27A3"/>
    <w:rsid w:val="006F3D13"/>
    <w:rsid w:val="006F5CBB"/>
    <w:rsid w:val="00702F11"/>
    <w:rsid w:val="00764985"/>
    <w:rsid w:val="007A7F47"/>
    <w:rsid w:val="007D167F"/>
    <w:rsid w:val="007E131D"/>
    <w:rsid w:val="007E2493"/>
    <w:rsid w:val="007E29FE"/>
    <w:rsid w:val="008012EF"/>
    <w:rsid w:val="00803A46"/>
    <w:rsid w:val="00867E7A"/>
    <w:rsid w:val="00883E49"/>
    <w:rsid w:val="008A44E1"/>
    <w:rsid w:val="008A77F1"/>
    <w:rsid w:val="008C2154"/>
    <w:rsid w:val="008D70DB"/>
    <w:rsid w:val="008E27E4"/>
    <w:rsid w:val="008E5C4D"/>
    <w:rsid w:val="008F7269"/>
    <w:rsid w:val="00906C20"/>
    <w:rsid w:val="009938BF"/>
    <w:rsid w:val="009B37F1"/>
    <w:rsid w:val="009B4A3D"/>
    <w:rsid w:val="009B55A8"/>
    <w:rsid w:val="009B7450"/>
    <w:rsid w:val="009C6113"/>
    <w:rsid w:val="009E215E"/>
    <w:rsid w:val="009F2D94"/>
    <w:rsid w:val="00A15128"/>
    <w:rsid w:val="00A25C11"/>
    <w:rsid w:val="00A33B89"/>
    <w:rsid w:val="00A3521E"/>
    <w:rsid w:val="00A35AAD"/>
    <w:rsid w:val="00A77F42"/>
    <w:rsid w:val="00A801BA"/>
    <w:rsid w:val="00A83725"/>
    <w:rsid w:val="00AC06EE"/>
    <w:rsid w:val="00AC58AA"/>
    <w:rsid w:val="00AC75F7"/>
    <w:rsid w:val="00AF6495"/>
    <w:rsid w:val="00B058D8"/>
    <w:rsid w:val="00B84773"/>
    <w:rsid w:val="00BB1CF9"/>
    <w:rsid w:val="00BB41BF"/>
    <w:rsid w:val="00BD1C71"/>
    <w:rsid w:val="00BF3393"/>
    <w:rsid w:val="00C10626"/>
    <w:rsid w:val="00C15D27"/>
    <w:rsid w:val="00C17DD1"/>
    <w:rsid w:val="00C260BA"/>
    <w:rsid w:val="00C33733"/>
    <w:rsid w:val="00C53C23"/>
    <w:rsid w:val="00C53E35"/>
    <w:rsid w:val="00C81AD0"/>
    <w:rsid w:val="00C85C95"/>
    <w:rsid w:val="00CA7236"/>
    <w:rsid w:val="00CB12AE"/>
    <w:rsid w:val="00CB17BD"/>
    <w:rsid w:val="00CE353E"/>
    <w:rsid w:val="00D0478F"/>
    <w:rsid w:val="00D068C1"/>
    <w:rsid w:val="00D10B87"/>
    <w:rsid w:val="00D117C4"/>
    <w:rsid w:val="00D152E7"/>
    <w:rsid w:val="00D67464"/>
    <w:rsid w:val="00D72452"/>
    <w:rsid w:val="00D841D4"/>
    <w:rsid w:val="00D95D50"/>
    <w:rsid w:val="00DB37DA"/>
    <w:rsid w:val="00DB3FAF"/>
    <w:rsid w:val="00DB4D45"/>
    <w:rsid w:val="00DB66D9"/>
    <w:rsid w:val="00DB795A"/>
    <w:rsid w:val="00DC6362"/>
    <w:rsid w:val="00DE088A"/>
    <w:rsid w:val="00DE2234"/>
    <w:rsid w:val="00E10FF4"/>
    <w:rsid w:val="00E115F9"/>
    <w:rsid w:val="00E30DE4"/>
    <w:rsid w:val="00E458FD"/>
    <w:rsid w:val="00E52BD1"/>
    <w:rsid w:val="00EA496D"/>
    <w:rsid w:val="00EB7F47"/>
    <w:rsid w:val="00EE2E50"/>
    <w:rsid w:val="00EF4AFA"/>
    <w:rsid w:val="00EF5CF4"/>
    <w:rsid w:val="00EF6ABC"/>
    <w:rsid w:val="00EF6CB5"/>
    <w:rsid w:val="00F769DE"/>
    <w:rsid w:val="00FA4495"/>
    <w:rsid w:val="00FB2E76"/>
    <w:rsid w:val="00FC34FF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4BF6"/>
  <w15:chartTrackingRefBased/>
  <w15:docId w15:val="{85F72AC9-9329-4DCD-8B2E-3F97B74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5F7"/>
    <w:pPr>
      <w:spacing w:after="0" w:line="240" w:lineRule="auto"/>
      <w:ind w:left="72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nhideWhenUsed/>
    <w:rsid w:val="002868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23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2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26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26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6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6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3393"/>
    <w:rPr>
      <w:b/>
      <w:bCs/>
    </w:rPr>
  </w:style>
  <w:style w:type="paragraph" w:customStyle="1" w:styleId="Default">
    <w:name w:val="Default"/>
    <w:rsid w:val="00C15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7F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7F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olidarites-sante.gouv.fr/actualites/presse/communiques-de-presse/article/investigations-en-cours-de-cas-de-syndrome-hemolytique-et-uremique-shu" TargetMode="External"/><Relationship Id="rId18" Type="http://schemas.openxmlformats.org/officeDocument/2006/relationships/hyperlink" Target="mailto:communication@dgccrf.finances.gouv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olidarites-sante.gouv.fr/actualites/presse/communiques-de-presse/article/point-sur-les-investigations-en-cours-concernant-des-cas-graves-de-syndrome" TargetMode="External"/><Relationship Id="rId17" Type="http://schemas.openxmlformats.org/officeDocument/2006/relationships/hyperlink" Target="https://www.pasteur.fr/fr/centre-medical/fiches-maladies/escherichia-co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ses.fr/fr/content/conseils-dhygi%C3%A8ne-dans-la-cuisine" TargetMode="External"/><Relationship Id="rId20" Type="http://schemas.openxmlformats.org/officeDocument/2006/relationships/hyperlink" Target="mailto:presse@santepubliquefranc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-72196-food-buitoni-france.pantheonsite.io/fr/rappel-de-pizzas-surgelees-fraichup-buiton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ses.fr/fr/content/les-escherichia-coli-ent%C3%A9roh%C3%A9morragiques-ehec" TargetMode="External"/><Relationship Id="rId10" Type="http://schemas.openxmlformats.org/officeDocument/2006/relationships/hyperlink" Target="https://solidarites-sante.gouv.fr/actualites/presse/communiques-de-presse/article/cas-graves-de-syndrome-hemolytique-et-uremique-shu-chez-l-enfant-retrait-rappel" TargetMode="External"/><Relationship Id="rId19" Type="http://schemas.openxmlformats.org/officeDocument/2006/relationships/hyperlink" Target="mailto:presse-dgs@sant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al.conso.gouv.fr/retrait-rappel" TargetMode="External"/><Relationship Id="rId14" Type="http://schemas.openxmlformats.org/officeDocument/2006/relationships/hyperlink" Target="https://www.santepubliquefrance.fr/maladies-et-traumatismes/maladies-infectieuses-d-origine-alimentaire/syndrome-hemolytique-et-uremique-pediatriq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Stephanie (DGS/MICOM)</dc:creator>
  <cp:keywords/>
  <dc:description/>
  <cp:lastModifiedBy>MA, Céline (DGS/MICOM)</cp:lastModifiedBy>
  <cp:revision>2</cp:revision>
  <dcterms:created xsi:type="dcterms:W3CDTF">2022-03-30T12:53:00Z</dcterms:created>
  <dcterms:modified xsi:type="dcterms:W3CDTF">2022-03-30T12:53:00Z</dcterms:modified>
</cp:coreProperties>
</file>