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199F7BDC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BD1C3E">
        <w:rPr>
          <w:rFonts w:cstheme="minorHAnsi"/>
          <w:szCs w:val="24"/>
        </w:rPr>
        <w:t>7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3848B821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BD1C3E">
        <w:rPr>
          <w:rFonts w:cstheme="minorHAnsi"/>
          <w:b/>
          <w:sz w:val="24"/>
          <w:szCs w:val="24"/>
        </w:rPr>
        <w:t>7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AA4889">
        <w:rPr>
          <w:rFonts w:cstheme="minorHAnsi"/>
          <w:b/>
          <w:sz w:val="24"/>
          <w:szCs w:val="24"/>
        </w:rPr>
        <w:t xml:space="preserve">, </w:t>
      </w:r>
      <w:r w:rsidR="008462FF" w:rsidRPr="00E53CCD">
        <w:rPr>
          <w:rFonts w:cstheme="minorHAnsi"/>
          <w:b/>
          <w:sz w:val="24"/>
          <w:szCs w:val="24"/>
        </w:rPr>
        <w:t>près</w:t>
      </w:r>
      <w:r w:rsidR="00614809" w:rsidRPr="00E53CCD">
        <w:rPr>
          <w:rFonts w:cstheme="minorHAnsi"/>
          <w:b/>
          <w:sz w:val="24"/>
          <w:szCs w:val="24"/>
        </w:rPr>
        <w:t xml:space="preserve"> de </w:t>
      </w:r>
      <w:r w:rsidR="008462FF" w:rsidRPr="00E53CCD">
        <w:rPr>
          <w:rFonts w:cstheme="minorHAnsi"/>
          <w:b/>
          <w:sz w:val="24"/>
          <w:szCs w:val="24"/>
        </w:rPr>
        <w:t>3 330</w:t>
      </w:r>
      <w:r w:rsidR="00AA4889" w:rsidRPr="00E53CCD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  <w:bookmarkStart w:id="0" w:name="_GoBack"/>
      <w:bookmarkEnd w:id="0"/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123A294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E53CCD">
        <w:rPr>
          <w:rFonts w:cstheme="minorHAnsi"/>
          <w:bCs/>
          <w:sz w:val="24"/>
          <w:szCs w:val="24"/>
        </w:rPr>
        <w:t>2 406 172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E53CCD">
        <w:rPr>
          <w:rFonts w:cstheme="minorHAnsi"/>
          <w:bCs/>
          <w:sz w:val="24"/>
          <w:szCs w:val="24"/>
        </w:rPr>
        <w:t>3,</w:t>
      </w:r>
      <w:r w:rsidR="00E53CCD" w:rsidRPr="00E53CCD">
        <w:rPr>
          <w:rFonts w:cstheme="minorHAnsi"/>
          <w:bCs/>
          <w:sz w:val="24"/>
          <w:szCs w:val="24"/>
        </w:rPr>
        <w:t>6</w:t>
      </w:r>
      <w:r w:rsidR="002E1108" w:rsidRPr="00E53CCD">
        <w:rPr>
          <w:rFonts w:cstheme="minorHAnsi"/>
          <w:bCs/>
          <w:sz w:val="24"/>
          <w:szCs w:val="24"/>
        </w:rPr>
        <w:t>% de la population totale</w:t>
      </w:r>
      <w:r w:rsidR="00CF6F9C" w:rsidRPr="00E53CCD">
        <w:rPr>
          <w:rFonts w:cstheme="minorHAnsi"/>
          <w:bCs/>
          <w:sz w:val="24"/>
          <w:szCs w:val="24"/>
        </w:rPr>
        <w:t xml:space="preserve"> et </w:t>
      </w:r>
      <w:r w:rsidR="00787FCA" w:rsidRPr="00E53CCD">
        <w:rPr>
          <w:rFonts w:cstheme="minorHAnsi"/>
          <w:bCs/>
          <w:sz w:val="24"/>
          <w:szCs w:val="24"/>
        </w:rPr>
        <w:t>4</w:t>
      </w:r>
      <w:r w:rsidR="00E269FC" w:rsidRPr="00E53CCD">
        <w:rPr>
          <w:rFonts w:cstheme="minorHAnsi"/>
          <w:bCs/>
          <w:sz w:val="24"/>
          <w:szCs w:val="24"/>
        </w:rPr>
        <w:t>,</w:t>
      </w:r>
      <w:r w:rsidR="00E53CCD" w:rsidRPr="00E53CCD">
        <w:rPr>
          <w:rFonts w:cstheme="minorHAnsi"/>
          <w:bCs/>
          <w:sz w:val="24"/>
          <w:szCs w:val="24"/>
        </w:rPr>
        <w:t>5</w:t>
      </w:r>
      <w:r w:rsidR="00CF6F9C" w:rsidRPr="00E53CCD">
        <w:rPr>
          <w:rFonts w:cstheme="minorHAnsi"/>
          <w:bCs/>
          <w:sz w:val="24"/>
          <w:szCs w:val="24"/>
        </w:rPr>
        <w:t>% de la population majeure</w:t>
      </w:r>
      <w:r w:rsidR="002E1108" w:rsidRPr="00E53CCD">
        <w:rPr>
          <w:rFonts w:cstheme="minorHAnsi"/>
          <w:bCs/>
          <w:sz w:val="24"/>
          <w:szCs w:val="24"/>
        </w:rPr>
        <w:t>)</w:t>
      </w:r>
      <w:r w:rsidR="0019764F" w:rsidRPr="00E53CCD">
        <w:rPr>
          <w:rFonts w:cstheme="minorHAnsi"/>
          <w:bCs/>
          <w:sz w:val="24"/>
          <w:szCs w:val="24"/>
        </w:rPr>
        <w:t xml:space="preserve"> et </w:t>
      </w:r>
      <w:r w:rsidR="00E53CCD" w:rsidRPr="00E53CCD">
        <w:rPr>
          <w:rFonts w:cstheme="minorHAnsi"/>
          <w:bCs/>
          <w:sz w:val="24"/>
          <w:szCs w:val="24"/>
        </w:rPr>
        <w:t>923 289</w:t>
      </w:r>
      <w:r w:rsidR="00356F6E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956CA0" w:rsidRPr="00CF6F9C" w14:paraId="7F092677" w14:textId="77777777" w:rsidTr="004B13D1">
        <w:tc>
          <w:tcPr>
            <w:tcW w:w="1838" w:type="dxa"/>
          </w:tcPr>
          <w:p w14:paraId="60654AE1" w14:textId="67F19389" w:rsidR="00956CA0" w:rsidRPr="00CF6F9C" w:rsidRDefault="00956CA0" w:rsidP="00956C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2EFA3017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56CA0">
              <w:rPr>
                <w:rFonts w:cstheme="minorHAnsi"/>
                <w:bCs/>
                <w:sz w:val="24"/>
                <w:szCs w:val="24"/>
              </w:rPr>
              <w:t>59 084</w:t>
            </w:r>
          </w:p>
        </w:tc>
        <w:tc>
          <w:tcPr>
            <w:tcW w:w="2408" w:type="dxa"/>
          </w:tcPr>
          <w:p w14:paraId="14E4821A" w14:textId="35A8C04D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56CA0">
              <w:rPr>
                <w:rFonts w:cstheme="minorHAnsi"/>
                <w:bCs/>
                <w:sz w:val="24"/>
                <w:szCs w:val="24"/>
              </w:rPr>
              <w:t>858 238</w:t>
            </w:r>
          </w:p>
        </w:tc>
        <w:tc>
          <w:tcPr>
            <w:tcW w:w="2408" w:type="dxa"/>
          </w:tcPr>
          <w:p w14:paraId="1D5FCB5B" w14:textId="3DB8A72C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956CA0">
              <w:rPr>
                <w:sz w:val="24"/>
              </w:rPr>
              <w:t>2 406 172</w:t>
            </w:r>
          </w:p>
        </w:tc>
      </w:tr>
      <w:tr w:rsidR="00956CA0" w:rsidRPr="00CF6F9C" w14:paraId="7AFA91C4" w14:textId="77777777" w:rsidTr="004B13D1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956CA0" w:rsidRPr="00CF6F9C" w:rsidRDefault="00956CA0" w:rsidP="00956C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B439745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56CA0">
              <w:rPr>
                <w:rFonts w:cstheme="minorHAnsi"/>
                <w:bCs/>
                <w:sz w:val="24"/>
                <w:szCs w:val="24"/>
              </w:rPr>
              <w:t>107 742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7488D9E3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56CA0">
              <w:rPr>
                <w:rFonts w:cstheme="minorHAnsi"/>
                <w:bCs/>
                <w:sz w:val="24"/>
                <w:szCs w:val="24"/>
              </w:rPr>
              <w:t>867 858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361A9E65" w:rsidR="00956CA0" w:rsidRPr="00956CA0" w:rsidRDefault="00956CA0" w:rsidP="00956C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956CA0">
              <w:rPr>
                <w:sz w:val="24"/>
              </w:rPr>
              <w:t>923 289</w:t>
            </w:r>
          </w:p>
        </w:tc>
      </w:tr>
      <w:tr w:rsidR="00956CA0" w:rsidRPr="00356F6E" w14:paraId="212A4B16" w14:textId="77777777" w:rsidTr="001060D3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956CA0" w:rsidRPr="00CF6F9C" w:rsidRDefault="00956CA0" w:rsidP="00956C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54166BBD" w:rsidR="00956CA0" w:rsidRPr="00956CA0" w:rsidRDefault="00956CA0" w:rsidP="00956CA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56CA0">
              <w:rPr>
                <w:rFonts w:cstheme="minorHAnsi"/>
                <w:b/>
                <w:sz w:val="24"/>
                <w:szCs w:val="24"/>
              </w:rPr>
              <w:t>166 826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4728BFC2" w:rsidR="00956CA0" w:rsidRPr="00956CA0" w:rsidRDefault="00956CA0" w:rsidP="00956CA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56CA0">
              <w:rPr>
                <w:rFonts w:cstheme="minorHAnsi"/>
                <w:b/>
                <w:sz w:val="24"/>
                <w:szCs w:val="24"/>
              </w:rPr>
              <w:t>1 726 096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1D966039" w:rsidR="00956CA0" w:rsidRPr="000C0C48" w:rsidRDefault="00956CA0" w:rsidP="00956CA0">
            <w:pPr>
              <w:jc w:val="right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0C0C48">
              <w:rPr>
                <w:b/>
                <w:sz w:val="24"/>
              </w:rPr>
              <w:t>3 329 461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5F6F6B83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BD1C3E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1DEC7FFE" w:rsidR="0055281B" w:rsidRPr="00187070" w:rsidRDefault="00741E7A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87070">
              <w:rPr>
                <w:rFonts w:cstheme="minorHAnsi"/>
                <w:bCs/>
                <w:sz w:val="24"/>
                <w:szCs w:val="24"/>
              </w:rPr>
              <w:t>39,8</w:t>
            </w:r>
            <w:r w:rsidR="0055281B" w:rsidRPr="00187070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187070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87070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187070" w:rsidRPr="00C30F29" w14:paraId="7E6306DA" w14:textId="77777777" w:rsidTr="00436192">
        <w:tc>
          <w:tcPr>
            <w:tcW w:w="3397" w:type="dxa"/>
          </w:tcPr>
          <w:p w14:paraId="34905677" w14:textId="79E95428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5EAB0C36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0,5%</w:t>
            </w:r>
          </w:p>
        </w:tc>
      </w:tr>
      <w:tr w:rsidR="00187070" w:rsidRPr="00C30F29" w14:paraId="7E8D1372" w14:textId="77777777" w:rsidTr="00436192">
        <w:tc>
          <w:tcPr>
            <w:tcW w:w="3397" w:type="dxa"/>
          </w:tcPr>
          <w:p w14:paraId="380AC937" w14:textId="5812ADD8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1FD03A59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1,2%</w:t>
            </w:r>
          </w:p>
        </w:tc>
      </w:tr>
      <w:tr w:rsidR="00187070" w:rsidRPr="00C30F29" w14:paraId="50BD63E2" w14:textId="77777777" w:rsidTr="00436192">
        <w:tc>
          <w:tcPr>
            <w:tcW w:w="3397" w:type="dxa"/>
          </w:tcPr>
          <w:p w14:paraId="052FE8B0" w14:textId="4C8EAC89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4E5D4DD1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3,6%</w:t>
            </w:r>
          </w:p>
        </w:tc>
      </w:tr>
      <w:tr w:rsidR="00187070" w:rsidRPr="00C30F29" w14:paraId="06102D8A" w14:textId="77777777" w:rsidTr="00436192">
        <w:tc>
          <w:tcPr>
            <w:tcW w:w="3397" w:type="dxa"/>
          </w:tcPr>
          <w:p w14:paraId="0CADAEA5" w14:textId="46C3E815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64BDC45B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5,6%</w:t>
            </w:r>
          </w:p>
        </w:tc>
      </w:tr>
      <w:tr w:rsidR="00187070" w:rsidRPr="00C30F29" w14:paraId="0C1B4463" w14:textId="77777777" w:rsidTr="00436192">
        <w:tc>
          <w:tcPr>
            <w:tcW w:w="3397" w:type="dxa"/>
          </w:tcPr>
          <w:p w14:paraId="35AFAD92" w14:textId="20CDA55C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542513FB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13,3%</w:t>
            </w:r>
          </w:p>
        </w:tc>
      </w:tr>
      <w:tr w:rsidR="00187070" w:rsidRPr="00C30F29" w14:paraId="5A9CCDB4" w14:textId="77777777" w:rsidTr="00436192">
        <w:tc>
          <w:tcPr>
            <w:tcW w:w="3397" w:type="dxa"/>
          </w:tcPr>
          <w:p w14:paraId="0D1B3D5E" w14:textId="453562F7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177A9A7E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5,9%</w:t>
            </w:r>
          </w:p>
        </w:tc>
      </w:tr>
      <w:tr w:rsidR="00187070" w:rsidRPr="00C30F29" w14:paraId="2C1A8FB7" w14:textId="77777777" w:rsidTr="00436192">
        <w:tc>
          <w:tcPr>
            <w:tcW w:w="3397" w:type="dxa"/>
          </w:tcPr>
          <w:p w14:paraId="4C8C669B" w14:textId="557BE17D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7FC1E6FC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4,1%</w:t>
            </w:r>
          </w:p>
        </w:tc>
      </w:tr>
      <w:tr w:rsidR="00187070" w:rsidRPr="00C30F29" w14:paraId="1AEFDAB2" w14:textId="77777777" w:rsidTr="00436192">
        <w:tc>
          <w:tcPr>
            <w:tcW w:w="3397" w:type="dxa"/>
          </w:tcPr>
          <w:p w14:paraId="12081821" w14:textId="230748F7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17023434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5,0%</w:t>
            </w:r>
          </w:p>
        </w:tc>
      </w:tr>
      <w:tr w:rsidR="00187070" w:rsidRPr="00C30F29" w14:paraId="17D7765E" w14:textId="77777777" w:rsidTr="00436192">
        <w:tc>
          <w:tcPr>
            <w:tcW w:w="3397" w:type="dxa"/>
          </w:tcPr>
          <w:p w14:paraId="7EA5A05F" w14:textId="48087722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7D05B7C9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19,0%</w:t>
            </w:r>
          </w:p>
        </w:tc>
      </w:tr>
      <w:tr w:rsidR="00187070" w:rsidRPr="00C30F29" w14:paraId="6854588E" w14:textId="77777777" w:rsidTr="00436192">
        <w:tc>
          <w:tcPr>
            <w:tcW w:w="3397" w:type="dxa"/>
          </w:tcPr>
          <w:p w14:paraId="3FE4BCD4" w14:textId="53FA8900" w:rsidR="00187070" w:rsidRPr="00C30F29" w:rsidRDefault="00187070" w:rsidP="001870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4B61697C" w:rsidR="00187070" w:rsidRPr="00BD1C3E" w:rsidRDefault="00187070" w:rsidP="0018707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41,7%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654FCC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D24489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50B32369" w:rsidR="00940DD3" w:rsidRPr="00B70382" w:rsidRDefault="00940DD3" w:rsidP="00940DD3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279 564</w:t>
            </w:r>
          </w:p>
        </w:tc>
        <w:tc>
          <w:tcPr>
            <w:tcW w:w="2551" w:type="dxa"/>
          </w:tcPr>
          <w:p w14:paraId="58AFC053" w14:textId="0B76481E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84 728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3B523B22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136 793</w:t>
            </w:r>
          </w:p>
        </w:tc>
        <w:tc>
          <w:tcPr>
            <w:tcW w:w="2551" w:type="dxa"/>
          </w:tcPr>
          <w:p w14:paraId="3834E8F6" w14:textId="32FD3059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48 843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4C11CE7B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131 703</w:t>
            </w:r>
          </w:p>
        </w:tc>
        <w:tc>
          <w:tcPr>
            <w:tcW w:w="2551" w:type="dxa"/>
          </w:tcPr>
          <w:p w14:paraId="6B14E5B9" w14:textId="691322CD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45 356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19A9ACD6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104 855</w:t>
            </w:r>
          </w:p>
        </w:tc>
        <w:tc>
          <w:tcPr>
            <w:tcW w:w="2551" w:type="dxa"/>
          </w:tcPr>
          <w:p w14:paraId="378E4D50" w14:textId="51609D7D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34 882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10F324A6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17 716</w:t>
            </w:r>
          </w:p>
        </w:tc>
        <w:tc>
          <w:tcPr>
            <w:tcW w:w="2551" w:type="dxa"/>
          </w:tcPr>
          <w:p w14:paraId="4A8402D5" w14:textId="27DC8EB7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5 036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2B6D40DA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208 438</w:t>
            </w:r>
          </w:p>
        </w:tc>
        <w:tc>
          <w:tcPr>
            <w:tcW w:w="2551" w:type="dxa"/>
          </w:tcPr>
          <w:p w14:paraId="61BBA3C3" w14:textId="310ED9AC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74 119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7F79C505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154 290</w:t>
            </w:r>
          </w:p>
        </w:tc>
        <w:tc>
          <w:tcPr>
            <w:tcW w:w="2551" w:type="dxa"/>
          </w:tcPr>
          <w:p w14:paraId="1CCED339" w14:textId="504AC65B" w:rsidR="000F58DC" w:rsidRPr="00B70382" w:rsidRDefault="000F35B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62 049</w:t>
            </w:r>
            <w:r w:rsidR="00190A2C" w:rsidRPr="00B70382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265AE022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329 939</w:t>
            </w:r>
          </w:p>
        </w:tc>
        <w:tc>
          <w:tcPr>
            <w:tcW w:w="2551" w:type="dxa"/>
          </w:tcPr>
          <w:p w14:paraId="5334B535" w14:textId="2BEA238F" w:rsidR="000F58DC" w:rsidRPr="00B70382" w:rsidRDefault="000F35BA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107 061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15756DA4" w:rsidR="000F58DC" w:rsidRPr="00B70382" w:rsidRDefault="00940DD3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142 526</w:t>
            </w:r>
          </w:p>
        </w:tc>
        <w:tc>
          <w:tcPr>
            <w:tcW w:w="2551" w:type="dxa"/>
          </w:tcPr>
          <w:p w14:paraId="705727C7" w14:textId="7F4B5F2B" w:rsidR="000F58DC" w:rsidRPr="00B70382" w:rsidRDefault="000F35B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65 897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1E688DAD" w:rsidR="000F58DC" w:rsidRPr="00B70382" w:rsidRDefault="00940DD3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262 925</w:t>
            </w:r>
          </w:p>
        </w:tc>
        <w:tc>
          <w:tcPr>
            <w:tcW w:w="2551" w:type="dxa"/>
          </w:tcPr>
          <w:p w14:paraId="01A8AFDC" w14:textId="5BAA8137" w:rsidR="000F58DC" w:rsidRPr="00B70382" w:rsidRDefault="000F35B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90 745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032F0C6C" w:rsidR="000F58DC" w:rsidRPr="00B70382" w:rsidRDefault="00940DD3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243 794</w:t>
            </w:r>
          </w:p>
        </w:tc>
        <w:tc>
          <w:tcPr>
            <w:tcW w:w="2551" w:type="dxa"/>
          </w:tcPr>
          <w:p w14:paraId="41A44F7C" w14:textId="5CCF17DA" w:rsidR="000F58DC" w:rsidRPr="00B70382" w:rsidRDefault="000F35B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85 233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322BA168" w:rsidR="000F58DC" w:rsidRPr="00B70382" w:rsidRDefault="00940DD3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131 773</w:t>
            </w:r>
          </w:p>
        </w:tc>
        <w:tc>
          <w:tcPr>
            <w:tcW w:w="2551" w:type="dxa"/>
          </w:tcPr>
          <w:p w14:paraId="25EC3F14" w14:textId="0314F007" w:rsidR="000F58DC" w:rsidRPr="00B70382" w:rsidRDefault="000F35B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49 365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04B36F83" w:rsidR="000F58DC" w:rsidRPr="00B70382" w:rsidRDefault="00940DD3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191 470</w:t>
            </w:r>
          </w:p>
        </w:tc>
        <w:tc>
          <w:tcPr>
            <w:tcW w:w="2551" w:type="dxa"/>
          </w:tcPr>
          <w:p w14:paraId="205AC7F1" w14:textId="3329CE80" w:rsidR="000F58DC" w:rsidRPr="00B70382" w:rsidRDefault="000F35B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60 572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5E090B33" w:rsidR="000F58DC" w:rsidRPr="00B70382" w:rsidRDefault="00940DD3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B70382">
              <w:rPr>
                <w:rFonts w:cstheme="minorHAnsi"/>
                <w:b/>
                <w:szCs w:val="24"/>
              </w:rPr>
              <w:t>2 335 786</w:t>
            </w:r>
          </w:p>
        </w:tc>
        <w:tc>
          <w:tcPr>
            <w:tcW w:w="2551" w:type="dxa"/>
          </w:tcPr>
          <w:p w14:paraId="36EA140B" w14:textId="11626714" w:rsidR="000F58DC" w:rsidRPr="00B70382" w:rsidRDefault="000F35BA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B70382">
              <w:rPr>
                <w:rFonts w:cstheme="minorHAnsi"/>
                <w:b/>
                <w:szCs w:val="24"/>
              </w:rPr>
              <w:t>813 886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4B97F266" w:rsidR="000E2339" w:rsidRPr="00B70382" w:rsidRDefault="00940DD3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2 047</w:t>
            </w:r>
          </w:p>
        </w:tc>
        <w:tc>
          <w:tcPr>
            <w:tcW w:w="2551" w:type="dxa"/>
          </w:tcPr>
          <w:p w14:paraId="715CD61E" w14:textId="5E48DB1C" w:rsidR="000F58DC" w:rsidRPr="00B70382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371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13548B72" w:rsidR="000F58DC" w:rsidRPr="00B70382" w:rsidRDefault="00940DD3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2 011</w:t>
            </w:r>
          </w:p>
        </w:tc>
        <w:tc>
          <w:tcPr>
            <w:tcW w:w="2551" w:type="dxa"/>
          </w:tcPr>
          <w:p w14:paraId="35347C47" w14:textId="38E13B7F" w:rsidR="000F58DC" w:rsidRPr="00B70382" w:rsidRDefault="000F35B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409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5BDB18B5" w:rsidR="000F58DC" w:rsidRPr="00B70382" w:rsidRDefault="00940DD3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11 383</w:t>
            </w:r>
          </w:p>
        </w:tc>
        <w:tc>
          <w:tcPr>
            <w:tcW w:w="2551" w:type="dxa"/>
          </w:tcPr>
          <w:p w14:paraId="6EA35EA8" w14:textId="51EC4925" w:rsidR="000F58DC" w:rsidRPr="00B70382" w:rsidRDefault="000F35B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1219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4F0D4039" w:rsidR="000F58DC" w:rsidRPr="00B70382" w:rsidRDefault="00940DD3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3 737</w:t>
            </w:r>
          </w:p>
        </w:tc>
        <w:tc>
          <w:tcPr>
            <w:tcW w:w="2551" w:type="dxa"/>
          </w:tcPr>
          <w:p w14:paraId="6F4BEDA8" w14:textId="081E53C0" w:rsidR="000F58DC" w:rsidRPr="00B70382" w:rsidRDefault="000F35B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1 094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0EAC6F45" w:rsidR="000F58DC" w:rsidRPr="00B70382" w:rsidRDefault="00940DD3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2 977</w:t>
            </w:r>
          </w:p>
        </w:tc>
        <w:tc>
          <w:tcPr>
            <w:tcW w:w="2551" w:type="dxa"/>
          </w:tcPr>
          <w:p w14:paraId="45F6D6E2" w14:textId="08D493F7" w:rsidR="000F58DC" w:rsidRPr="00B70382" w:rsidRDefault="000F35B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9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B70382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B70382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4CDB485" w:rsidR="000E2339" w:rsidRPr="00B70382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14:paraId="22228400" w14:textId="67061C0A" w:rsidR="000E2339" w:rsidRPr="00B70382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B70382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49CE9BA4" w:rsidR="000F58DC" w:rsidRPr="00B70382" w:rsidRDefault="00940DD3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B70382">
              <w:rPr>
                <w:rFonts w:cstheme="minorHAnsi"/>
                <w:b/>
                <w:szCs w:val="24"/>
              </w:rPr>
              <w:t>2 357 946</w:t>
            </w:r>
          </w:p>
        </w:tc>
        <w:tc>
          <w:tcPr>
            <w:tcW w:w="2551" w:type="dxa"/>
          </w:tcPr>
          <w:p w14:paraId="37EEDC3A" w14:textId="7C756AED" w:rsidR="000F58DC" w:rsidRPr="00B70382" w:rsidRDefault="000F35BA" w:rsidP="00590D7C">
            <w:pPr>
              <w:jc w:val="right"/>
              <w:rPr>
                <w:rFonts w:cstheme="minorHAnsi"/>
                <w:b/>
                <w:szCs w:val="24"/>
              </w:rPr>
            </w:pPr>
            <w:r w:rsidRPr="00B70382">
              <w:rPr>
                <w:rFonts w:cstheme="minorHAnsi"/>
                <w:b/>
                <w:szCs w:val="24"/>
              </w:rPr>
              <w:t>816 990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96220F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96220F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96220F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96220F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9457" w14:textId="77777777" w:rsidR="0096220F" w:rsidRDefault="0096220F" w:rsidP="00EF7EA0">
      <w:pPr>
        <w:spacing w:after="0" w:line="240" w:lineRule="auto"/>
      </w:pPr>
      <w:r>
        <w:separator/>
      </w:r>
    </w:p>
  </w:endnote>
  <w:endnote w:type="continuationSeparator" w:id="0">
    <w:p w14:paraId="4F064C8B" w14:textId="77777777" w:rsidR="0096220F" w:rsidRDefault="0096220F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default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FA3B" w14:textId="77777777" w:rsidR="0096220F" w:rsidRDefault="0096220F" w:rsidP="00EF7EA0">
      <w:pPr>
        <w:spacing w:after="0" w:line="240" w:lineRule="auto"/>
      </w:pPr>
      <w:r>
        <w:separator/>
      </w:r>
    </w:p>
  </w:footnote>
  <w:footnote w:type="continuationSeparator" w:id="0">
    <w:p w14:paraId="1D8B0227" w14:textId="77777777" w:rsidR="0096220F" w:rsidRDefault="0096220F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100B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C48"/>
    <w:rsid w:val="000C0D04"/>
    <w:rsid w:val="000D11AA"/>
    <w:rsid w:val="000D28DD"/>
    <w:rsid w:val="000E2339"/>
    <w:rsid w:val="000E2863"/>
    <w:rsid w:val="000F1FAE"/>
    <w:rsid w:val="000F35BA"/>
    <w:rsid w:val="000F58DC"/>
    <w:rsid w:val="000F596B"/>
    <w:rsid w:val="000F747D"/>
    <w:rsid w:val="0010198F"/>
    <w:rsid w:val="00112880"/>
    <w:rsid w:val="0014205A"/>
    <w:rsid w:val="00151F23"/>
    <w:rsid w:val="00164390"/>
    <w:rsid w:val="0018707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C6BD0"/>
    <w:rsid w:val="001D0AD2"/>
    <w:rsid w:val="001E1924"/>
    <w:rsid w:val="001E2259"/>
    <w:rsid w:val="001E565F"/>
    <w:rsid w:val="002011FB"/>
    <w:rsid w:val="00201329"/>
    <w:rsid w:val="002018FD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6F6E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829D0"/>
    <w:rsid w:val="004970DA"/>
    <w:rsid w:val="004A164B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0D7C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26823"/>
    <w:rsid w:val="00631C15"/>
    <w:rsid w:val="00654FCC"/>
    <w:rsid w:val="00655327"/>
    <w:rsid w:val="00657C72"/>
    <w:rsid w:val="00657ECC"/>
    <w:rsid w:val="0066172A"/>
    <w:rsid w:val="00674A4B"/>
    <w:rsid w:val="00686686"/>
    <w:rsid w:val="00692D20"/>
    <w:rsid w:val="006B130B"/>
    <w:rsid w:val="006B493B"/>
    <w:rsid w:val="006D2567"/>
    <w:rsid w:val="006D37D5"/>
    <w:rsid w:val="006F09EB"/>
    <w:rsid w:val="006F351D"/>
    <w:rsid w:val="00707755"/>
    <w:rsid w:val="00710A5B"/>
    <w:rsid w:val="00730F59"/>
    <w:rsid w:val="00741E7A"/>
    <w:rsid w:val="00765544"/>
    <w:rsid w:val="00770A1B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462FF"/>
    <w:rsid w:val="00854E95"/>
    <w:rsid w:val="00861480"/>
    <w:rsid w:val="00872052"/>
    <w:rsid w:val="00872339"/>
    <w:rsid w:val="00872406"/>
    <w:rsid w:val="0087465B"/>
    <w:rsid w:val="00874F4F"/>
    <w:rsid w:val="00880481"/>
    <w:rsid w:val="00891911"/>
    <w:rsid w:val="008D431E"/>
    <w:rsid w:val="008D575F"/>
    <w:rsid w:val="008E0B7A"/>
    <w:rsid w:val="008E1C19"/>
    <w:rsid w:val="008F091F"/>
    <w:rsid w:val="0090321C"/>
    <w:rsid w:val="009034A4"/>
    <w:rsid w:val="00940DD3"/>
    <w:rsid w:val="009451DE"/>
    <w:rsid w:val="00946F86"/>
    <w:rsid w:val="009532BD"/>
    <w:rsid w:val="00956CA0"/>
    <w:rsid w:val="00960343"/>
    <w:rsid w:val="0096220F"/>
    <w:rsid w:val="0096227C"/>
    <w:rsid w:val="00963AE8"/>
    <w:rsid w:val="00990DF2"/>
    <w:rsid w:val="009A33CC"/>
    <w:rsid w:val="009A3B8D"/>
    <w:rsid w:val="009B1457"/>
    <w:rsid w:val="009B255C"/>
    <w:rsid w:val="009C60D6"/>
    <w:rsid w:val="009D177D"/>
    <w:rsid w:val="009D4A0A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4889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382"/>
    <w:rsid w:val="00B70619"/>
    <w:rsid w:val="00B741AF"/>
    <w:rsid w:val="00B8049A"/>
    <w:rsid w:val="00B84CA6"/>
    <w:rsid w:val="00B91FCB"/>
    <w:rsid w:val="00BB4983"/>
    <w:rsid w:val="00BB7E7E"/>
    <w:rsid w:val="00BD1C3E"/>
    <w:rsid w:val="00BD50AB"/>
    <w:rsid w:val="00BF31A4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949AD"/>
    <w:rsid w:val="00CC2D44"/>
    <w:rsid w:val="00CD6D17"/>
    <w:rsid w:val="00CF6F9C"/>
    <w:rsid w:val="00D0231E"/>
    <w:rsid w:val="00D03D29"/>
    <w:rsid w:val="00D10983"/>
    <w:rsid w:val="00D163FF"/>
    <w:rsid w:val="00D24489"/>
    <w:rsid w:val="00D31832"/>
    <w:rsid w:val="00D54650"/>
    <w:rsid w:val="00D630E1"/>
    <w:rsid w:val="00D6623C"/>
    <w:rsid w:val="00D76384"/>
    <w:rsid w:val="00D85E88"/>
    <w:rsid w:val="00D86AE3"/>
    <w:rsid w:val="00D90BEB"/>
    <w:rsid w:val="00DA10F8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53CCD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A0ED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1361-433D-4876-AF2A-160C452C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13</cp:revision>
  <cp:lastPrinted>2021-01-29T19:20:00Z</cp:lastPrinted>
  <dcterms:created xsi:type="dcterms:W3CDTF">2021-02-17T15:44:00Z</dcterms:created>
  <dcterms:modified xsi:type="dcterms:W3CDTF">2021-02-17T17:08:00Z</dcterms:modified>
</cp:coreProperties>
</file>